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1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001-42793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 03-04, 25/F, Cosco Tower, 183 Queen’s Road Central,</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Sheung Wan, Hong Kong</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1" w:lineRule="exact"/>
        <w:rPr>
          <w:sz w:val="24"/>
          <w:szCs w:val="24"/>
          <w:color w:val="auto"/>
        </w:rPr>
      </w:pPr>
    </w:p>
    <w:p>
      <w:pPr>
        <w:ind w:left="44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174625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200025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639445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5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Attached hereto as Exhibit 99.1 is a press release dated December 30, 2025, announcing Etoiles Capital Group Co., Ltd.’s (the “Company”) unaudited financial and operating results for the six months ended June 30, 2025; attached hereto as Exhibit 99.2 are the unaudited condensed consolidated financial statements of the Company as of June 30, 2025 and for the six months ended June 30, 2025 and 2024; and attached hereto as Exhibit 99.3 is the management’s discussion and analysis of financial condition and results of operations of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3"/>
          </w:tcPr>
          <w:p>
            <w:pPr>
              <w:ind w:left="2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gridSpan w:val="3"/>
          </w:tcPr>
          <w:p>
            <w:pPr>
              <w:ind w:left="3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3"/>
        </w:trPr>
        <w:tc>
          <w:tcPr>
            <w:tcW w:w="1040" w:type="dxa"/>
            <w:vAlign w:val="bottom"/>
            <w:tcBorders>
              <w:top w:val="single" w:sz="8" w:color="auto"/>
              <w:bottom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4"/>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EE"/>
                <w:w w:val="98"/>
              </w:rPr>
              <w:t>Press Release, dated December 30, 2025 – Etoiles Capital Group Co., Ltd. Announces Unaudited Financial Results for the Six Months Ended</w:t>
            </w:r>
          </w:p>
        </w:tc>
      </w:tr>
      <w:tr>
        <w:trPr>
          <w:trHeight w:val="193"/>
        </w:trPr>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10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0000EE"/>
              </w:rPr>
              <w:t>June 30, 2025</w:t>
            </w:r>
          </w:p>
        </w:tc>
      </w:tr>
      <w:tr>
        <w:trPr>
          <w:trHeight w:val="40"/>
        </w:trPr>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r>
      <w:tr>
        <w:trPr>
          <w:trHeight w:val="183"/>
        </w:trPr>
        <w:tc>
          <w:tcPr>
            <w:tcW w:w="1040" w:type="dxa"/>
            <w:vAlign w:val="bottom"/>
          </w:tcPr>
          <w:p>
            <w:pPr>
              <w:spacing w:after="0" w:line="173"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10100" w:type="dxa"/>
            <w:vAlign w:val="bottom"/>
            <w:gridSpan w:val="4"/>
          </w:tcPr>
          <w:p>
            <w:pPr>
              <w:spacing w:after="0" w:line="173" w:lineRule="exact"/>
              <w:rPr>
                <w:sz w:val="20"/>
                <w:szCs w:val="20"/>
                <w:color w:val="auto"/>
              </w:rPr>
            </w:pPr>
            <w:r>
              <w:rPr>
                <w:rFonts w:ascii="Times New Roman" w:cs="Times New Roman" w:eastAsia="Times New Roman" w:hAnsi="Times New Roman"/>
                <w:sz w:val="18"/>
                <w:szCs w:val="18"/>
                <w:color w:val="0000EE"/>
              </w:rPr>
              <w:t>Unaudited Interim Condensed Consolidated Financial Statements as of June 30, 2025 and for the six months ended June 30, 2025 and 2024</w:t>
            </w:r>
          </w:p>
        </w:tc>
      </w:tr>
      <w:tr>
        <w:trPr>
          <w:trHeight w:val="203"/>
        </w:trPr>
        <w:tc>
          <w:tcPr>
            <w:tcW w:w="10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7"/>
                <w:szCs w:val="17"/>
                <w:color w:val="auto"/>
              </w:rPr>
            </w:pPr>
          </w:p>
        </w:tc>
        <w:tc>
          <w:tcPr>
            <w:tcW w:w="9880" w:type="dxa"/>
            <w:vAlign w:val="bottom"/>
            <w:tcBorders>
              <w:top w:val="single" w:sz="8" w:color="0000EE"/>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20" w:type="dxa"/>
            <w:vAlign w:val="bottom"/>
            <w:shd w:val="clear" w:color="auto" w:fill="CCEEFF"/>
          </w:tcPr>
          <w:p>
            <w:pPr>
              <w:spacing w:after="0"/>
              <w:rPr>
                <w:sz w:val="17"/>
                <w:szCs w:val="17"/>
                <w:color w:val="auto"/>
              </w:rPr>
            </w:pPr>
          </w:p>
        </w:tc>
      </w:tr>
      <w:tr>
        <w:trPr>
          <w:trHeight w:val="645"/>
        </w:trPr>
        <w:tc>
          <w:tcPr>
            <w:tcW w:w="10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360" w:type="dxa"/>
            <w:vAlign w:val="bottom"/>
            <w:tcBorders>
              <w:top w:val="single" w:sz="8" w:color="0000EE"/>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35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tc>
      </w:tr>
      <w:tr>
        <w:trPr>
          <w:trHeight w:val="43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30, 2025</w:t>
            </w: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Kit Shing, CHEUNG</w:t>
            </w:r>
          </w:p>
        </w:tc>
      </w:tr>
      <w:tr>
        <w:trPr>
          <w:trHeight w:val="194"/>
        </w:trPr>
        <w:tc>
          <w:tcPr>
            <w:tcW w:w="3700" w:type="dxa"/>
            <w:vAlign w:val="bottom"/>
          </w:tcPr>
          <w:p>
            <w:pPr>
              <w:spacing w:after="0"/>
              <w:rPr>
                <w:sz w:val="16"/>
                <w:szCs w:val="16"/>
                <w:color w:val="auto"/>
              </w:rPr>
            </w:pPr>
          </w:p>
        </w:tc>
        <w:tc>
          <w:tcPr>
            <w:tcW w:w="3620" w:type="dxa"/>
            <w:vAlign w:val="bottom"/>
          </w:tcPr>
          <w:p>
            <w:pPr>
              <w:ind w:left="3060"/>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Kit Shing, CHEUNG</w:t>
            </w:r>
          </w:p>
        </w:tc>
      </w:tr>
      <w:tr>
        <w:trPr>
          <w:trHeight w:val="213"/>
        </w:trPr>
        <w:tc>
          <w:tcPr>
            <w:tcW w:w="3700" w:type="dxa"/>
            <w:vAlign w:val="bottom"/>
          </w:tcPr>
          <w:p>
            <w:pPr>
              <w:spacing w:after="0"/>
              <w:rPr>
                <w:sz w:val="18"/>
                <w:szCs w:val="18"/>
                <w:color w:val="auto"/>
              </w:rPr>
            </w:pP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Chief Executive Officer, and</w:t>
            </w:r>
          </w:p>
        </w:tc>
      </w:tr>
      <w:tr>
        <w:trPr>
          <w:trHeight w:val="232"/>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644"/>
        </w:trPr>
        <w:tc>
          <w:tcPr>
            <w:tcW w:w="3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151765</wp:posOffset>
            </wp:positionV>
            <wp:extent cx="2093595" cy="607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359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Etoiles Capital Group Co., Ltd. Announces Unaudited Financial Results For The Six Months Ended June 30, 2025</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Hong Kong, Dec. 15, 2025 (GLOBE NEWSWIRE) -- Etoiles Capital Group Co., Ltd. (“we”, “EFTY” or the “Company”) (Nasdaq: EFTY) is an exempted company with limited liability incorporated under the laws of the Cayman Islands (“Cayman Islands”) with no material operations of its own. The Company conduct its operations as a single-segment business, specializing in integrated investor relations services in Hong Kong, through our indirect wholly-owned Hong Kong subsidiary, Etoiles Consultancy Limited (“Etoiles Consultancy”). Etoiles Financial Group Limited (“Etoiles Financial”), our other Hong Kong subsidiary, has no material operations of its own and is mainly used to handle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today announced its unaudited financial results for the six months ended June 30,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2025 Financial and Operating Highlights</w:t>
      </w:r>
    </w:p>
    <w:p>
      <w:pPr>
        <w:spacing w:after="0" w:line="220" w:lineRule="exact"/>
        <w:rPr>
          <w:sz w:val="20"/>
          <w:szCs w:val="20"/>
          <w:color w:val="auto"/>
        </w:rPr>
      </w:pPr>
    </w:p>
    <w:p>
      <w:pPr>
        <w:ind w:left="640" w:hanging="31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196.6% from US$607,115 to US$1,800,576</w:t>
      </w:r>
    </w:p>
    <w:p>
      <w:pPr>
        <w:spacing w:after="0" w:line="21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increased by 74.1% from US$613,210 to US$1,067,654</w:t>
      </w:r>
    </w:p>
    <w:p>
      <w:pPr>
        <w:spacing w:after="0" w:line="21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(loss) and total comprehensive profit (loss) increased by 9,116.7% from net loss of US$6,810 to net profit of US$614,038</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Kit Shing, CHEUNG, Director, Chief Executive Officer and Chairman of the Board of Directors of the Company, commented, “Founded in 2013, we are an integrated investor relation service provider in Hong Kong. Our mission is to become a leading integrated investor relation services provider in Hong Kong in terms of revenue. We strive to provide one-stop solution to companies in managing their institutional relations, engaging constructive discussion with their stakeholders and tailor creative solutions to navigate the ever-changing financial landscape.”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proud to announce that the Company has listed its shares on the Nasdaq Capital Market on August 8, 2025 and the shares of the Company are now trading on the Nasdaq under ticker “EFTY.” We believe the listing on Nasdaq is an important milestone for the Company. We will actively explore options for the Company to grow further and create value for our shareholders” concluded Mr. CHEUNG.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our total revenue increased significantly to US$1,800,576, compared to US$607,115 for the six months ended June 30, 2024. This substantial growth was primarily driven by an expansion in our service offerings and a significant increase in client engagements. The majority of our revenue was generated from clients based in Hong Kong, which accounted for US$1,660,427, followed by US$140,149 from the United States. The increase in revenue was primarily attributable to the rising demand for investor relations services from Hong Kong-listed and U.S.-listed companies, as well as pre-IPO firms seeking advisory support.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for the six months ended June 30, 2025, increased to US$1,067,654, compared to US$613,210 for the six months ended June 30, 2024. The rise in expenses was primarily due to the costs associated with business expansion, increased staffing, and higher service execution costs. Direct cost of revenue increased to US$250,909, reflecting higher subcontracting and supplier fees. Selling expenses amounted to US$80,223, primarily due to marketing and business development efforts, while general and administrative expenses increased to US$736,522 as a result of new hires and investments in operational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416560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mainly represents net of other income and interest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credit</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income tax expenses increased by US$100,184 or 8,218.5%, from tax credit of US$1,219 for the six months ended June 30, 2024, to tax expense of US$98,965 for the six months ended June 30, 2025 in line with increase in taxable income for the six months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a result of the foregoing, we reported a net profit of US$628,030 for the six months ended June 30, 2025, as compared to a net loss of US$6,814 for the six months ended June 30, 2024 as the reasons discussed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Etoiles Capital Group Co., Ltd.</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on September 13, 2024, as a holding company. Our business operations are conducted through our indirect wholly-owned Hong Kong subsidiary, Etoiles Consultancy. We also own Etoiles Financial, a company with no material operations of its own and mainly used to handle administrative expense. We operate as a single-segment business, specializing in integrated investor relations services in Hong Kong. 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the Company’s website: </w:t>
      </w:r>
      <w:r>
        <w:rPr>
          <w:rFonts w:ascii="Times New Roman" w:cs="Times New Roman" w:eastAsia="Times New Roman" w:hAnsi="Times New Roman"/>
          <w:sz w:val="18"/>
          <w:szCs w:val="18"/>
          <w:i w:val="1"/>
          <w:iCs w:val="1"/>
          <w:color w:val="auto"/>
        </w:rPr>
        <w:t>https://www.etoilesgroup.com/</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press release.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announcement and other filings with the SEC.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ir@etoilesfin.com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408305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ETOLIES CAPITAL GROUP CO., LTD. AND ITS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2025 and DECEMBER 31, 2024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 or $”), except for number of shares)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0"/>
        </w:trPr>
        <w:tc>
          <w:tcPr>
            <w:tcW w:w="5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(Audited)</w:t>
            </w:r>
          </w:p>
        </w:tc>
      </w:tr>
      <w:tr>
        <w:trPr>
          <w:trHeight w:val="192"/>
        </w:trPr>
        <w:tc>
          <w:tcPr>
            <w:tcW w:w="566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1,454,136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1,441,024</w:t>
            </w:r>
          </w:p>
        </w:tc>
        <w:tc>
          <w:tcPr>
            <w:tcW w:w="100" w:type="dxa"/>
            <w:vAlign w:val="bottom"/>
            <w:shd w:val="clear" w:color="auto" w:fill="CCEEFF"/>
          </w:tcPr>
          <w:p>
            <w:pPr>
              <w:spacing w:after="0"/>
              <w:rPr>
                <w:sz w:val="18"/>
                <w:szCs w:val="18"/>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7,152</w:t>
            </w:r>
          </w:p>
        </w:tc>
      </w:tr>
      <w:tr>
        <w:trPr>
          <w:trHeight w:val="21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current assets, net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289,914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00" w:type="dxa"/>
            <w:vAlign w:val="bottom"/>
            <w:shd w:val="clear" w:color="auto" w:fill="CCEEFF"/>
          </w:tcPr>
          <w:p>
            <w:pPr>
              <w:spacing w:after="0"/>
              <w:rPr>
                <w:sz w:val="18"/>
                <w:szCs w:val="18"/>
                <w:color w:val="auto"/>
              </w:rPr>
            </w:pP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 director</w:t>
            </w: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309,507</w:t>
            </w:r>
          </w:p>
        </w:tc>
      </w:tr>
      <w:tr>
        <w:trPr>
          <w:trHeight w:val="21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2,053,608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1,768,932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2"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22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22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Deposits and other current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422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initial public offering costs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225" cy="151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91,520</w:t>
      </w:r>
      <w:r>
        <w:rPr>
          <w:sz w:val="20"/>
          <w:szCs w:val="20"/>
          <w:color w:val="auto"/>
        </w:rPr>
        <w:tab/>
      </w:r>
      <w:r>
        <w:rPr>
          <w:rFonts w:ascii="Times New Roman" w:cs="Times New Roman" w:eastAsia="Times New Roman" w:hAnsi="Times New Roman"/>
          <w:sz w:val="18"/>
          <w:szCs w:val="18"/>
          <w:color w:val="auto"/>
        </w:rPr>
        <w:t>41,932</w:t>
      </w:r>
    </w:p>
    <w:p>
      <w:pPr>
        <w:spacing w:after="0" w:line="25"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55,092</w:t>
      </w:r>
      <w:r>
        <w:rPr>
          <w:sz w:val="20"/>
          <w:szCs w:val="20"/>
          <w:color w:val="auto"/>
        </w:rPr>
        <w:tab/>
      </w:r>
      <w:r>
        <w:rPr>
          <w:rFonts w:ascii="Times New Roman" w:cs="Times New Roman" w:eastAsia="Times New Roman" w:hAnsi="Times New Roman"/>
          <w:sz w:val="18"/>
          <w:szCs w:val="18"/>
          <w:color w:val="auto"/>
        </w:rPr>
        <w:t>18,593</w:t>
      </w:r>
    </w:p>
    <w:p>
      <w:pPr>
        <w:spacing w:after="0" w:line="6" w:lineRule="exact"/>
        <w:rPr>
          <w:sz w:val="20"/>
          <w:szCs w:val="20"/>
          <w:color w:val="auto"/>
        </w:rPr>
      </w:pPr>
    </w:p>
    <w:p>
      <w:pPr>
        <w:ind w:left="540"/>
        <w:spacing w:after="0"/>
        <w:tabs>
          <w:tab w:leader="none" w:pos="1940" w:val="left"/>
        </w:tabs>
        <w:rPr>
          <w:sz w:val="20"/>
          <w:szCs w:val="20"/>
          <w:color w:val="auto"/>
        </w:rPr>
      </w:pPr>
      <w:r>
        <w:rPr>
          <w:rFonts w:ascii="Times New Roman" w:cs="Times New Roman" w:eastAsia="Times New Roman" w:hAnsi="Times New Roman"/>
          <w:sz w:val="18"/>
          <w:szCs w:val="18"/>
          <w:color w:val="auto"/>
        </w:rPr>
        <w:t>274,738</w:t>
      </w:r>
      <w:r>
        <w:rPr>
          <w:sz w:val="20"/>
          <w:szCs w:val="20"/>
          <w:color w:val="auto"/>
        </w:rPr>
        <w:tab/>
      </w:r>
      <w:r>
        <w:rPr>
          <w:rFonts w:ascii="Times New Roman" w:cs="Times New Roman" w:eastAsia="Times New Roman" w:hAnsi="Times New Roman"/>
          <w:sz w:val="18"/>
          <w:szCs w:val="18"/>
          <w:color w:val="auto"/>
        </w:rPr>
        <w:t>53,418</w:t>
      </w:r>
    </w:p>
    <w:p>
      <w:pPr>
        <w:spacing w:after="0" w:line="6" w:lineRule="exact"/>
        <w:rPr>
          <w:sz w:val="20"/>
          <w:szCs w:val="20"/>
          <w:color w:val="auto"/>
        </w:rPr>
      </w:pPr>
    </w:p>
    <w:p>
      <w:pPr>
        <w:ind w:left="2060" w:hanging="993"/>
        <w:spacing w:after="0"/>
        <w:tabs>
          <w:tab w:leader="none" w:pos="20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4,539</w:t>
      </w:r>
    </w:p>
    <w:p>
      <w:pPr>
        <w:spacing w:after="0" w:line="1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785,089</w:t>
      </w:r>
      <w:r>
        <w:rPr>
          <w:rFonts w:ascii="Times New Roman" w:cs="Times New Roman" w:eastAsia="Times New Roman" w:hAnsi="Times New Roman"/>
          <w:sz w:val="17"/>
          <w:szCs w:val="17"/>
          <w:color w:val="auto"/>
        </w:rPr>
        <w:t>181,688</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1,206,439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300,170</w:t>
            </w:r>
          </w:p>
        </w:tc>
      </w:tr>
      <w:tr>
        <w:trPr>
          <w:trHeight w:val="246"/>
        </w:trPr>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3,260,047</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2,069,102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8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1,203,833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958,314</w:t>
            </w: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48,841</w:t>
            </w:r>
          </w:p>
        </w:tc>
      </w:tr>
      <w:tr>
        <w:trPr>
          <w:trHeight w:val="21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16,812</w:t>
            </w: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director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244,957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152,364</w:t>
            </w:r>
          </w:p>
        </w:tc>
      </w:tr>
      <w:tr>
        <w:trPr>
          <w:trHeight w:val="219"/>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1,657,119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1,176,331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3"/>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4,577</w:t>
            </w:r>
          </w:p>
        </w:tc>
      </w:tr>
      <w:tr>
        <w:trPr>
          <w:trHeight w:val="233"/>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4,577</w:t>
            </w:r>
          </w:p>
        </w:tc>
      </w:tr>
      <w:tr>
        <w:trPr>
          <w:trHeight w:val="219"/>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1,757,815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3"/>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8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9"/>
              </w:rPr>
              <w:t>Ordinary shares, 450,000,000 shares authorized, par value US$0.0001 each, 13,500,000 Class A ordinary shares issued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outstanding as of June 30, 2025 and December 31, 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194"/>
        </w:trPr>
        <w:tc>
          <w:tcPr>
            <w:tcW w:w="85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Ordinary shares, 50,000,000 shares authorized, par value US$0.0001 each, 5,000,000 Class B ordinary shares issued</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outstanding as of June 30, 2025 and December 31, 2024*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1,509,751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881,721</w:t>
            </w:r>
          </w:p>
        </w:tc>
      </w:tr>
      <w:tr>
        <w:trPr>
          <w:trHeight w:val="23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(loss)/income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w:t>
            </w:r>
          </w:p>
        </w:tc>
      </w:tr>
      <w:tr>
        <w:trPr>
          <w:trHeight w:val="233"/>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1,502,232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3"/>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3,260,047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2,069,102</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7811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1175" cy="17145"/>
                    </a:xfrm>
                    <a:prstGeom prst="rect">
                      <a:avLst/>
                    </a:prstGeom>
                    <a:noFill/>
                  </pic:spPr>
                </pic:pic>
              </a:graphicData>
            </a:graphic>
          </wp:anchor>
        </w:drawing>
      </w:r>
    </w:p>
    <w:p>
      <w:pPr>
        <w:spacing w:after="0" w:line="21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Retrospectively restated for effect of share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437515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ETOLIES CAPITAL GROUP CO., LTD. AND ITS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INTERIM CONDENSED CONSOLIDATED STATEMENTS OF OPERATIONS AND COMPREHENSIVE INCOME/LOSS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 OR $”), except for number of shares)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22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225"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225" cy="135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Selling expenses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225" cy="151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225"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225" cy="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225" cy="15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34225" cy="143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225" cy="15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 credit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34225" cy="160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1,800,576</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(250,909)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(226,239)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(80,223)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(55,416)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(736,522)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(331,555)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(1,067,654</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(613,210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732,922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(5,938)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726,995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(98,965)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46"/>
        </w:trPr>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628,030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(6,814</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3" w:lineRule="exact"/>
        <w:rPr>
          <w:sz w:val="20"/>
          <w:szCs w:val="20"/>
          <w:color w:val="auto"/>
        </w:rPr>
      </w:pPr>
    </w:p>
    <w:p>
      <w:pPr>
        <w:sectPr>
          <w:pgSz w:w="11900" w:h="16838" w:orient="portrait"/>
          <w:cols w:equalWidth="0" w:num="2">
            <w:col w:w="7960" w:space="720"/>
            <w:col w:w="256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(13,992)</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 / (loss)</w:t>
            </w:r>
          </w:p>
        </w:tc>
        <w:tc>
          <w:tcPr>
            <w:tcW w:w="2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6320" w:type="dxa"/>
            <w:vAlign w:val="bottom"/>
            <w:vMerge w:val="continue"/>
          </w:tcPr>
          <w:p>
            <w:pPr>
              <w:spacing w:after="0"/>
              <w:rPr>
                <w:sz w:val="23"/>
                <w:szCs w:val="23"/>
                <w:color w:val="auto"/>
              </w:rPr>
            </w:pPr>
          </w:p>
        </w:tc>
        <w:tc>
          <w:tcPr>
            <w:tcW w:w="2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614,038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3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Earnings / (loss) per share – basic and diluted</w:t>
            </w:r>
          </w:p>
        </w:tc>
        <w:tc>
          <w:tcPr>
            <w:tcW w:w="2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0" w:type="dxa"/>
            <w:vAlign w:val="bottom"/>
          </w:tcPr>
          <w:p>
            <w:pPr>
              <w:spacing w:after="0"/>
              <w:rPr>
                <w:sz w:val="1"/>
                <w:szCs w:val="1"/>
                <w:color w:val="auto"/>
              </w:rPr>
            </w:pPr>
          </w:p>
        </w:tc>
      </w:tr>
      <w:tr>
        <w:trPr>
          <w:trHeight w:val="219"/>
        </w:trPr>
        <w:tc>
          <w:tcPr>
            <w:tcW w:w="6320" w:type="dxa"/>
            <w:vAlign w:val="bottom"/>
            <w:tcBorders>
              <w:top w:val="single" w:sz="8" w:color="CCEEFF"/>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7811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1175" cy="17145"/>
                    </a:xfrm>
                    <a:prstGeom prst="rect">
                      <a:avLst/>
                    </a:prstGeom>
                    <a:noFill/>
                  </pic:spPr>
                </pic:pic>
              </a:graphicData>
            </a:graphic>
          </wp:anchor>
        </w:drawing>
      </w:r>
    </w:p>
    <w:p>
      <w:pPr>
        <w:spacing w:after="0" w:line="214" w:lineRule="exact"/>
        <w:rPr>
          <w:sz w:val="20"/>
          <w:szCs w:val="20"/>
          <w:color w:val="auto"/>
        </w:rPr>
      </w:pPr>
    </w:p>
    <w:p>
      <w:pPr>
        <w:ind w:left="320" w:hanging="314"/>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share reorganization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ETOLIES CAPITAL GROUP CO., LTD. AND ITS SUBSIDIARIES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 or $”), except for number of shares)</w:t>
      </w:r>
    </w:p>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Pr>
          <w:p>
            <w:pPr>
              <w:spacing w:after="0"/>
              <w:rPr>
                <w:sz w:val="18"/>
                <w:szCs w:val="18"/>
                <w:color w:val="auto"/>
              </w:rPr>
            </w:pPr>
          </w:p>
        </w:tc>
        <w:tc>
          <w:tcPr>
            <w:tcW w:w="11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0"/>
        </w:trPr>
        <w:tc>
          <w:tcPr>
            <w:tcW w:w="1800" w:type="dxa"/>
            <w:vAlign w:val="bottom"/>
          </w:tcPr>
          <w:p>
            <w:pPr>
              <w:spacing w:after="0"/>
              <w:rPr>
                <w:sz w:val="20"/>
                <w:szCs w:val="20"/>
                <w:color w:val="auto"/>
              </w:rPr>
            </w:pPr>
          </w:p>
        </w:tc>
        <w:tc>
          <w:tcPr>
            <w:tcW w:w="17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Total Share Capital</w:t>
            </w:r>
          </w:p>
        </w:tc>
        <w:tc>
          <w:tcPr>
            <w:tcW w:w="4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2"/>
        </w:trPr>
        <w:tc>
          <w:tcPr>
            <w:tcW w:w="1800" w:type="dxa"/>
            <w:vAlign w:val="bottom"/>
          </w:tcPr>
          <w:p>
            <w:pPr>
              <w:spacing w:after="0"/>
              <w:rPr>
                <w:sz w:val="16"/>
                <w:szCs w:val="16"/>
                <w:color w:val="auto"/>
              </w:rPr>
            </w:pPr>
          </w:p>
        </w:tc>
        <w:tc>
          <w:tcPr>
            <w:tcW w:w="900" w:type="dxa"/>
            <w:vAlign w:val="bottom"/>
            <w:tcBorders>
              <w:top w:val="single" w:sz="8" w:color="auto"/>
            </w:tcBorders>
            <w:gridSpan w:val="2"/>
          </w:tcPr>
          <w:p>
            <w:pPr>
              <w:ind w:left="180"/>
              <w:spacing w:after="0" w:line="193" w:lineRule="exact"/>
              <w:rPr>
                <w:sz w:val="20"/>
                <w:szCs w:val="20"/>
                <w:color w:val="auto"/>
              </w:rPr>
            </w:pPr>
            <w:r>
              <w:rPr>
                <w:rFonts w:ascii="Times New Roman" w:cs="Times New Roman" w:eastAsia="Times New Roman" w:hAnsi="Times New Roman"/>
                <w:sz w:val="18"/>
                <w:szCs w:val="18"/>
                <w:b w:val="1"/>
                <w:bCs w:val="1"/>
                <w:color w:val="auto"/>
              </w:rPr>
              <w:t>No. of</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b w:val="1"/>
                <w:bCs w:val="1"/>
                <w:color w:val="auto"/>
              </w:rPr>
              <w:t>No. of</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300"/>
              <w:spacing w:after="0" w:line="193" w:lineRule="exact"/>
              <w:rPr>
                <w:sz w:val="20"/>
                <w:szCs w:val="20"/>
                <w:color w:val="auto"/>
              </w:rPr>
            </w:pPr>
            <w:r>
              <w:rPr>
                <w:rFonts w:ascii="Times New Roman" w:cs="Times New Roman" w:eastAsia="Times New Roman" w:hAnsi="Times New Roman"/>
                <w:sz w:val="18"/>
                <w:szCs w:val="18"/>
                <w:b w:val="1"/>
                <w:bCs w:val="1"/>
                <w:color w:val="auto"/>
              </w:rPr>
              <w:t>No. of</w:t>
            </w: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00"/>
              <w:spacing w:after="0" w:line="193" w:lineRule="exact"/>
              <w:rPr>
                <w:sz w:val="20"/>
                <w:szCs w:val="20"/>
                <w:color w:val="auto"/>
              </w:rPr>
            </w:pPr>
            <w:r>
              <w:rPr>
                <w:rFonts w:ascii="Times New Roman" w:cs="Times New Roman" w:eastAsia="Times New Roman" w:hAnsi="Times New Roman"/>
                <w:sz w:val="18"/>
                <w:szCs w:val="18"/>
                <w:b w:val="1"/>
                <w:bCs w:val="1"/>
                <w:color w:val="auto"/>
                <w:w w:val="97"/>
              </w:rPr>
              <w:t>paid in</w:t>
            </w:r>
          </w:p>
        </w:tc>
        <w:tc>
          <w:tcPr>
            <w:tcW w:w="1300" w:type="dxa"/>
            <w:vAlign w:val="bottom"/>
            <w:gridSpan w:val="3"/>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3"/>
          </w:tcPr>
          <w:p>
            <w:pPr>
              <w:jc w:val="center"/>
              <w:ind w:right="120"/>
              <w:spacing w:after="0" w:line="193" w:lineRule="exact"/>
              <w:rPr>
                <w:sz w:val="20"/>
                <w:szCs w:val="20"/>
                <w:color w:val="auto"/>
              </w:rPr>
            </w:pPr>
            <w:r>
              <w:rPr>
                <w:rFonts w:ascii="Times New Roman" w:cs="Times New Roman" w:eastAsia="Times New Roman" w:hAnsi="Times New Roman"/>
                <w:sz w:val="18"/>
                <w:szCs w:val="18"/>
                <w:b w:val="1"/>
                <w:bCs w:val="1"/>
                <w:color w:val="auto"/>
                <w:w w:val="97"/>
              </w:rPr>
              <w:t>losses)/Retained</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0"/>
        </w:trPr>
        <w:tc>
          <w:tcPr>
            <w:tcW w:w="1800" w:type="dxa"/>
            <w:vAlign w:val="bottom"/>
          </w:tcPr>
          <w:p>
            <w:pPr>
              <w:spacing w:after="0"/>
              <w:rPr>
                <w:sz w:val="20"/>
                <w:szCs w:val="20"/>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8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1"/>
        </w:trPr>
        <w:tc>
          <w:tcPr>
            <w:tcW w:w="180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Balance as of December</w:t>
            </w: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1"/>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31, 2024</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13,500,000</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881,721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888,194</w:t>
            </w:r>
          </w:p>
        </w:tc>
        <w:tc>
          <w:tcPr>
            <w:tcW w:w="60" w:type="dxa"/>
            <w:vAlign w:val="bottom"/>
            <w:shd w:val="clear" w:color="auto" w:fill="CCEEFF"/>
          </w:tcPr>
          <w:p>
            <w:pPr>
              <w:spacing w:after="0"/>
              <w:rPr>
                <w:sz w:val="20"/>
                <w:szCs w:val="20"/>
                <w:color w:val="auto"/>
              </w:rPr>
            </w:pPr>
          </w:p>
        </w:tc>
      </w:t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628,030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628,030</w:t>
            </w:r>
          </w:p>
        </w:tc>
        <w:tc>
          <w:tcPr>
            <w:tcW w:w="60" w:type="dxa"/>
            <w:vAlign w:val="bottom"/>
          </w:tcPr>
          <w:p>
            <w:pPr>
              <w:spacing w:after="0"/>
              <w:rPr>
                <w:sz w:val="18"/>
                <w:szCs w:val="18"/>
                <w:color w:val="auto"/>
              </w:rPr>
            </w:pPr>
          </w:p>
        </w:tc>
      </w:tr>
      <w:tr>
        <w:trPr>
          <w:trHeight w:val="194"/>
        </w:trPr>
        <w:tc>
          <w:tcPr>
            <w:tcW w:w="18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4"/>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(13,992)</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r>
      <w:tr>
        <w:trPr>
          <w:trHeight w:val="168"/>
        </w:trPr>
        <w:tc>
          <w:tcPr>
            <w:tcW w:w="1800" w:type="dxa"/>
            <w:vAlign w:val="bottom"/>
            <w:tcBorders>
              <w:top w:val="single" w:sz="8" w:color="CCEEFF"/>
            </w:tcBorders>
          </w:tcPr>
          <w:p>
            <w:pPr>
              <w:spacing w:after="0" w:line="168" w:lineRule="exact"/>
              <w:rPr>
                <w:sz w:val="20"/>
                <w:szCs w:val="20"/>
                <w:color w:val="auto"/>
              </w:rPr>
            </w:pPr>
            <w:r>
              <w:rPr>
                <w:rFonts w:ascii="Times New Roman" w:cs="Times New Roman" w:eastAsia="Times New Roman" w:hAnsi="Times New Roman"/>
                <w:sz w:val="18"/>
                <w:szCs w:val="18"/>
                <w:color w:val="auto"/>
              </w:rPr>
              <w:t>Balance as of June</w:t>
            </w:r>
          </w:p>
        </w:tc>
        <w:tc>
          <w:tcPr>
            <w:tcW w:w="86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44"/>
        </w:trPr>
        <w:tc>
          <w:tcPr>
            <w:tcW w:w="1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40" w:type="dxa"/>
            <w:vAlign w:val="bottom"/>
          </w:tcPr>
          <w:p>
            <w:pPr>
              <w:spacing w:after="0"/>
              <w:rPr>
                <w:sz w:val="21"/>
                <w:szCs w:val="21"/>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(9,869)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1,509,751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1,502,232</w:t>
            </w:r>
          </w:p>
        </w:tc>
        <w:tc>
          <w:tcPr>
            <w:tcW w:w="60" w:type="dxa"/>
            <w:vAlign w:val="bottom"/>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7811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1175" cy="17145"/>
                    </a:xfrm>
                    <a:prstGeom prst="rect">
                      <a:avLst/>
                    </a:prstGeom>
                    <a:noFill/>
                  </pic:spPr>
                </pic:pic>
              </a:graphicData>
            </a:graphic>
          </wp:anchor>
        </w:drawing>
      </w:r>
    </w:p>
    <w:p>
      <w:pPr>
        <w:spacing w:after="0" w:line="214" w:lineRule="exact"/>
        <w:rPr>
          <w:sz w:val="20"/>
          <w:szCs w:val="20"/>
          <w:color w:val="auto"/>
        </w:rPr>
      </w:pPr>
    </w:p>
    <w:p>
      <w:pPr>
        <w:ind w:left="320" w:hanging="314"/>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share reorganization</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60" w:type="dxa"/>
            <w:vAlign w:val="bottom"/>
          </w:tcPr>
          <w:p>
            <w:pPr>
              <w:spacing w:after="0"/>
              <w:rPr>
                <w:sz w:val="18"/>
                <w:szCs w:val="18"/>
                <w:color w:val="auto"/>
              </w:rPr>
            </w:pP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0"/>
        </w:trPr>
        <w:tc>
          <w:tcPr>
            <w:tcW w:w="1860" w:type="dxa"/>
            <w:vAlign w:val="bottom"/>
          </w:tcPr>
          <w:p>
            <w:pPr>
              <w:spacing w:after="0"/>
              <w:rPr>
                <w:sz w:val="20"/>
                <w:szCs w:val="20"/>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Total Share Capital</w:t>
            </w:r>
          </w:p>
        </w:tc>
        <w:tc>
          <w:tcPr>
            <w:tcW w:w="6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2"/>
        </w:trPr>
        <w:tc>
          <w:tcPr>
            <w:tcW w:w="1860" w:type="dxa"/>
            <w:vAlign w:val="bottom"/>
          </w:tcPr>
          <w:p>
            <w:pPr>
              <w:spacing w:after="0"/>
              <w:rPr>
                <w:sz w:val="16"/>
                <w:szCs w:val="16"/>
                <w:color w:val="auto"/>
              </w:rPr>
            </w:pPr>
          </w:p>
        </w:tc>
        <w:tc>
          <w:tcPr>
            <w:tcW w:w="960" w:type="dxa"/>
            <w:vAlign w:val="bottom"/>
            <w:tcBorders>
              <w:top w:val="single" w:sz="8" w:color="auto"/>
            </w:tcBorders>
            <w:gridSpan w:val="2"/>
          </w:tcPr>
          <w:p>
            <w:pPr>
              <w:ind w:left="180"/>
              <w:spacing w:after="0" w:line="193" w:lineRule="exact"/>
              <w:rPr>
                <w:sz w:val="20"/>
                <w:szCs w:val="20"/>
                <w:color w:val="auto"/>
              </w:rPr>
            </w:pPr>
            <w:r>
              <w:rPr>
                <w:rFonts w:ascii="Times New Roman" w:cs="Times New Roman" w:eastAsia="Times New Roman" w:hAnsi="Times New Roman"/>
                <w:sz w:val="18"/>
                <w:szCs w:val="18"/>
                <w:b w:val="1"/>
                <w:bCs w:val="1"/>
                <w:color w:val="auto"/>
              </w:rPr>
              <w:t>No. of</w:t>
            </w: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gridSpan w:val="2"/>
          </w:tcPr>
          <w:p>
            <w:pPr>
              <w:ind w:left="140"/>
              <w:spacing w:after="0" w:line="193" w:lineRule="exact"/>
              <w:rPr>
                <w:sz w:val="20"/>
                <w:szCs w:val="20"/>
                <w:color w:val="auto"/>
              </w:rPr>
            </w:pPr>
            <w:r>
              <w:rPr>
                <w:rFonts w:ascii="Times New Roman" w:cs="Times New Roman" w:eastAsia="Times New Roman" w:hAnsi="Times New Roman"/>
                <w:sz w:val="18"/>
                <w:szCs w:val="18"/>
                <w:b w:val="1"/>
                <w:bCs w:val="1"/>
                <w:color w:val="auto"/>
              </w:rPr>
              <w:t>No. of</w:t>
            </w: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300"/>
              <w:spacing w:after="0" w:line="193" w:lineRule="exact"/>
              <w:rPr>
                <w:sz w:val="20"/>
                <w:szCs w:val="20"/>
                <w:color w:val="auto"/>
              </w:rPr>
            </w:pPr>
            <w:r>
              <w:rPr>
                <w:rFonts w:ascii="Times New Roman" w:cs="Times New Roman" w:eastAsia="Times New Roman" w:hAnsi="Times New Roman"/>
                <w:sz w:val="18"/>
                <w:szCs w:val="18"/>
                <w:b w:val="1"/>
                <w:bCs w:val="1"/>
                <w:color w:val="auto"/>
              </w:rPr>
              <w:t>No. of</w:t>
            </w: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line="193" w:lineRule="exact"/>
              <w:rPr>
                <w:sz w:val="20"/>
                <w:szCs w:val="20"/>
                <w:color w:val="auto"/>
              </w:rPr>
            </w:pPr>
            <w:r>
              <w:rPr>
                <w:rFonts w:ascii="Times New Roman" w:cs="Times New Roman" w:eastAsia="Times New Roman" w:hAnsi="Times New Roman"/>
                <w:sz w:val="18"/>
                <w:szCs w:val="18"/>
                <w:b w:val="1"/>
                <w:bCs w:val="1"/>
                <w:color w:val="auto"/>
              </w:rPr>
              <w:t>paid in</w:t>
            </w:r>
          </w:p>
        </w:tc>
        <w:tc>
          <w:tcPr>
            <w:tcW w:w="60" w:type="dxa"/>
            <w:vAlign w:val="bottom"/>
          </w:tcPr>
          <w:p>
            <w:pPr>
              <w:spacing w:after="0"/>
              <w:rPr>
                <w:sz w:val="16"/>
                <w:szCs w:val="16"/>
                <w:color w:val="auto"/>
              </w:rPr>
            </w:pPr>
          </w:p>
        </w:tc>
        <w:tc>
          <w:tcPr>
            <w:tcW w:w="1240" w:type="dxa"/>
            <w:vAlign w:val="bottom"/>
            <w:gridSpan w:val="3"/>
          </w:tcPr>
          <w:p>
            <w:pPr>
              <w:jc w:val="center"/>
              <w:ind w:right="6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380" w:type="dxa"/>
            <w:vAlign w:val="bottom"/>
            <w:gridSpan w:val="4"/>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losses)/Retained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0"/>
        </w:trPr>
        <w:tc>
          <w:tcPr>
            <w:tcW w:w="186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1"/>
        </w:trPr>
        <w:tc>
          <w:tcPr>
            <w:tcW w:w="186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Balance as of December</w:t>
            </w: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1"/>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$ 31,642</w:t>
            </w:r>
          </w:p>
        </w:tc>
        <w:tc>
          <w:tcPr>
            <w:tcW w:w="60" w:type="dxa"/>
            <w:vAlign w:val="bottom"/>
            <w:shd w:val="clear" w:color="auto" w:fill="CCEEFF"/>
          </w:tcPr>
          <w:p>
            <w:pPr>
              <w:spacing w:after="0"/>
              <w:rPr>
                <w:sz w:val="20"/>
                <w:szCs w:val="20"/>
                <w:color w:val="auto"/>
              </w:rPr>
            </w:pPr>
          </w:p>
        </w:tc>
      </w:tr>
      <w:tr>
        <w:trPr>
          <w:trHeight w:val="21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194"/>
        </w:trPr>
        <w:tc>
          <w:tcPr>
            <w:tcW w:w="1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4"/>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2"/>
                <w:szCs w:val="22"/>
                <w:color w:val="auto"/>
              </w:rPr>
            </w:pPr>
          </w:p>
        </w:tc>
      </w:tr>
      <w:tr>
        <w:trPr>
          <w:trHeight w:val="168"/>
        </w:trPr>
        <w:tc>
          <w:tcPr>
            <w:tcW w:w="1860" w:type="dxa"/>
            <w:vAlign w:val="bottom"/>
            <w:tcBorders>
              <w:top w:val="single" w:sz="8" w:color="CCEEFF"/>
            </w:tcBorders>
          </w:tcPr>
          <w:p>
            <w:pPr>
              <w:spacing w:after="0" w:line="168" w:lineRule="exact"/>
              <w:rPr>
                <w:sz w:val="20"/>
                <w:szCs w:val="20"/>
                <w:color w:val="auto"/>
              </w:rPr>
            </w:pPr>
            <w:r>
              <w:rPr>
                <w:rFonts w:ascii="Times New Roman" w:cs="Times New Roman" w:eastAsia="Times New Roman" w:hAnsi="Times New Roman"/>
                <w:sz w:val="18"/>
                <w:szCs w:val="18"/>
                <w:color w:val="auto"/>
              </w:rPr>
              <w:t>Balance as of June</w:t>
            </w: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4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1"/>
                <w:szCs w:val="21"/>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24,832</w:t>
            </w:r>
          </w:p>
        </w:tc>
        <w:tc>
          <w:tcPr>
            <w:tcW w:w="60" w:type="dxa"/>
            <w:vAlign w:val="bottom"/>
          </w:tcPr>
          <w:p>
            <w:pPr>
              <w:spacing w:after="0"/>
              <w:rPr>
                <w:sz w:val="21"/>
                <w:szCs w:val="21"/>
                <w:color w:val="auto"/>
              </w:rPr>
            </w:pPr>
          </w:p>
        </w:tc>
      </w:tr>
      <w:tr>
        <w:trPr>
          <w:trHeight w:val="27"/>
        </w:trPr>
        <w:tc>
          <w:tcPr>
            <w:tcW w:w="1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7811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1175" cy="17145"/>
                    </a:xfrm>
                    <a:prstGeom prst="rect">
                      <a:avLst/>
                    </a:prstGeom>
                    <a:noFill/>
                  </pic:spPr>
                </pic:pic>
              </a:graphicData>
            </a:graphic>
          </wp:anchor>
        </w:drawing>
      </w:r>
    </w:p>
    <w:p>
      <w:pPr>
        <w:spacing w:after="0" w:line="214"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share reorganization</w:t>
      </w: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89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ETOLIES CAPITAL GROUP CO., LTD. AND ITS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 or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3"/>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628,030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22,605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14,922</w:t>
            </w:r>
          </w:p>
        </w:tc>
      </w:tr>
      <w:tr>
        <w:trPr>
          <w:trHeight w:val="21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55,482</w:t>
            </w: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16,293</w:t>
            </w:r>
          </w:p>
        </w:tc>
      </w:tr>
      <w:tr>
        <w:trPr>
          <w:trHeight w:val="21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(302,406)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(124,249)</w:t>
            </w:r>
          </w:p>
        </w:tc>
      </w:tr>
      <w:tr>
        <w:trPr>
          <w:trHeight w:val="213"/>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(315,164)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(76,560)</w:t>
            </w:r>
          </w:p>
        </w:tc>
      </w:tr>
      <w:tr>
        <w:trPr>
          <w:trHeight w:val="21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16,714</w:t>
            </w: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325,324</w:t>
            </w:r>
          </w:p>
        </w:tc>
      </w:tr>
      <w:tr>
        <w:trPr>
          <w:trHeight w:val="213"/>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245,519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396,128</w:t>
            </w:r>
          </w:p>
        </w:tc>
      </w:tr>
      <w:tr>
        <w:trPr>
          <w:trHeight w:val="21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 due from (to) a director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309,507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(270,495)</w:t>
            </w:r>
          </w:p>
        </w:tc>
      </w:tr>
      <w:tr>
        <w:trPr>
          <w:trHeight w:val="213"/>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13"/>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recoverable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92,587</w:t>
            </w: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w:t>
            </w:r>
          </w:p>
        </w:tc>
      </w:tr>
      <w:tr>
        <w:trPr>
          <w:trHeight w:val="246"/>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(58,397)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r>
      <w:tr>
        <w:trPr>
          <w:trHeight w:val="206"/>
        </w:trPr>
        <w:tc>
          <w:tcPr>
            <w:tcW w:w="7220" w:type="dxa"/>
            <w:vAlign w:val="bottom"/>
            <w:tcBorders>
              <w:top w:val="single" w:sz="8" w:color="CCEEFF"/>
              <w:bottom w:val="single" w:sz="8" w:color="CCEEFF"/>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6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699,777</w:t>
            </w:r>
          </w:p>
        </w:tc>
        <w:tc>
          <w:tcPr>
            <w:tcW w:w="2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256,955</w:t>
            </w:r>
          </w:p>
        </w:tc>
        <w:tc>
          <w:tcPr>
            <w:tcW w:w="100" w:type="dxa"/>
            <w:vAlign w:val="bottom"/>
            <w:tcBorders>
              <w:top w:val="single" w:sz="8" w:color="CCEEFF"/>
              <w:bottom w:val="single" w:sz="8" w:color="CCEEFF"/>
            </w:tcBorders>
          </w:tcPr>
          <w:p>
            <w:pPr>
              <w:spacing w:after="0"/>
              <w:rPr>
                <w:sz w:val="17"/>
                <w:szCs w:val="17"/>
                <w:color w:val="auto"/>
              </w:rPr>
            </w:pPr>
          </w:p>
        </w:tc>
      </w:tr>
      <w:tr>
        <w:trPr>
          <w:trHeight w:val="213"/>
        </w:trPr>
        <w:tc>
          <w:tcPr>
            <w:tcW w:w="7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(73,008)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(73,847)</w:t>
            </w:r>
          </w:p>
        </w:tc>
      </w:tr>
      <w:tr>
        <w:trPr>
          <w:trHeight w:val="206"/>
        </w:trPr>
        <w:tc>
          <w:tcPr>
            <w:tcW w:w="7220" w:type="dxa"/>
            <w:vAlign w:val="bottom"/>
            <w:tcBorders>
              <w:top w:val="single" w:sz="8" w:color="CCEEFF"/>
              <w:bottom w:val="single" w:sz="8" w:color="CCEEFF"/>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Net cash used in investing activity</w:t>
            </w:r>
          </w:p>
        </w:tc>
        <w:tc>
          <w:tcPr>
            <w:tcW w:w="146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(73,008</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(73,847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3"/>
        </w:trPr>
        <w:tc>
          <w:tcPr>
            <w:tcW w:w="7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225" cy="160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IPO costs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34225" cy="151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225" cy="135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foreign currency translation on cash and cash equivalents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225" cy="186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86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500"/>
        <w:spacing w:after="0"/>
        <w:tabs>
          <w:tab w:leader="none" w:pos="2380" w:val="left"/>
        </w:tabs>
        <w:rPr>
          <w:sz w:val="20"/>
          <w:szCs w:val="20"/>
          <w:color w:val="auto"/>
        </w:rPr>
      </w:pPr>
      <w:r>
        <w:rPr>
          <w:rFonts w:ascii="Times New Roman" w:cs="Times New Roman" w:eastAsia="Times New Roman" w:hAnsi="Times New Roman"/>
          <w:sz w:val="18"/>
          <w:szCs w:val="18"/>
          <w:color w:val="auto"/>
        </w:rPr>
        <w:t>(603,401)</w:t>
      </w:r>
      <w:r>
        <w:rPr>
          <w:sz w:val="20"/>
          <w:szCs w:val="20"/>
          <w:color w:val="auto"/>
        </w:rPr>
        <w:tab/>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500"/>
        <w:spacing w:after="0"/>
        <w:tabs>
          <w:tab w:leader="none" w:pos="2380" w:val="left"/>
        </w:tabs>
        <w:rPr>
          <w:sz w:val="20"/>
          <w:szCs w:val="20"/>
          <w:color w:val="auto"/>
        </w:rPr>
      </w:pPr>
      <w:r>
        <w:rPr>
          <w:rFonts w:ascii="Times New Roman" w:cs="Times New Roman" w:eastAsia="Times New Roman" w:hAnsi="Times New Roman"/>
          <w:sz w:val="18"/>
          <w:szCs w:val="18"/>
          <w:color w:val="auto"/>
        </w:rPr>
        <w:t>(603,401)</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40"/>
        <w:spacing w:after="0"/>
        <w:tabs>
          <w:tab w:leader="none" w:pos="1860" w:val="left"/>
        </w:tabs>
        <w:rPr>
          <w:sz w:val="20"/>
          <w:szCs w:val="20"/>
          <w:color w:val="auto"/>
        </w:rPr>
      </w:pPr>
      <w:r>
        <w:rPr>
          <w:rFonts w:ascii="Times New Roman" w:cs="Times New Roman" w:eastAsia="Times New Roman" w:hAnsi="Times New Roman"/>
          <w:sz w:val="18"/>
          <w:szCs w:val="18"/>
          <w:color w:val="auto"/>
        </w:rPr>
        <w:t>23,368</w:t>
      </w:r>
      <w:r>
        <w:rPr>
          <w:sz w:val="20"/>
          <w:szCs w:val="20"/>
          <w:color w:val="auto"/>
        </w:rPr>
        <w:tab/>
      </w:r>
      <w:r>
        <w:rPr>
          <w:rFonts w:ascii="Times New Roman" w:cs="Times New Roman" w:eastAsia="Times New Roman" w:hAnsi="Times New Roman"/>
          <w:sz w:val="18"/>
          <w:szCs w:val="18"/>
          <w:color w:val="auto"/>
        </w:rPr>
        <w:t>183,108</w:t>
      </w:r>
    </w:p>
    <w:p>
      <w:pPr>
        <w:spacing w:after="0" w:line="25" w:lineRule="exact"/>
        <w:rPr>
          <w:sz w:val="20"/>
          <w:szCs w:val="20"/>
          <w:color w:val="auto"/>
        </w:rPr>
      </w:pPr>
    </w:p>
    <w:p>
      <w:pPr>
        <w:jc w:val="both"/>
        <w:ind w:left="580"/>
        <w:spacing w:after="0"/>
        <w:tabs>
          <w:tab w:leader="none" w:pos="2340" w:val="left"/>
        </w:tabs>
        <w:rPr>
          <w:sz w:val="20"/>
          <w:szCs w:val="20"/>
          <w:color w:val="auto"/>
        </w:rPr>
      </w:pPr>
      <w:r>
        <w:rPr>
          <w:rFonts w:ascii="Times New Roman" w:cs="Times New Roman" w:eastAsia="Times New Roman" w:hAnsi="Times New Roman"/>
          <w:sz w:val="18"/>
          <w:szCs w:val="18"/>
          <w:color w:val="auto"/>
        </w:rPr>
        <w:t>(10,256)</w:t>
      </w:r>
      <w:r>
        <w:rPr>
          <w:sz w:val="20"/>
          <w:szCs w:val="20"/>
          <w:color w:val="auto"/>
        </w:rPr>
        <w:tab/>
      </w:r>
      <w:r>
        <w:rPr>
          <w:rFonts w:ascii="Times New Roman" w:cs="Times New Roman" w:eastAsia="Times New Roman" w:hAnsi="Times New Roman"/>
          <w:sz w:val="18"/>
          <w:szCs w:val="18"/>
          <w:color w:val="auto"/>
        </w:rPr>
        <w:t>2</w:t>
      </w:r>
    </w:p>
    <w:p>
      <w:pPr>
        <w:spacing w:after="0" w:line="6" w:lineRule="exact"/>
        <w:rPr>
          <w:sz w:val="20"/>
          <w:szCs w:val="20"/>
          <w:color w:val="auto"/>
        </w:rPr>
      </w:pPr>
    </w:p>
    <w:p>
      <w:pPr>
        <w:jc w:val="both"/>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1,441,024</w:t>
      </w:r>
      <w:r>
        <w:rPr>
          <w:sz w:val="20"/>
          <w:szCs w:val="20"/>
          <w:color w:val="auto"/>
        </w:rPr>
        <w:tab/>
      </w:r>
      <w:r>
        <w:rPr>
          <w:rFonts w:ascii="Times New Roman" w:cs="Times New Roman" w:eastAsia="Times New Roman" w:hAnsi="Times New Roman"/>
          <w:sz w:val="18"/>
          <w:szCs w:val="18"/>
          <w:color w:val="auto"/>
        </w:rPr>
        <w:t>70,476</w:t>
      </w:r>
    </w:p>
    <w:p>
      <w:pPr>
        <w:spacing w:after="0" w:line="53" w:lineRule="exact"/>
        <w:rPr>
          <w:sz w:val="20"/>
          <w:szCs w:val="20"/>
          <w:color w:val="auto"/>
        </w:rPr>
      </w:pPr>
    </w:p>
    <w:p>
      <w:pPr>
        <w:spacing w:after="0"/>
        <w:tabs>
          <w:tab w:leader="none" w:pos="400" w:val="left"/>
          <w:tab w:leader="none" w:pos="1320" w:val="left"/>
          <w:tab w:leader="none" w:pos="186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1,454,136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253,586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5621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21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90" w:right="3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6"/>
        </w:trPr>
        <w:tc>
          <w:tcPr>
            <w:tcW w:w="7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2"/>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288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279,018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-540385</wp:posOffset>
            </wp:positionV>
            <wp:extent cx="7134225"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-269875</wp:posOffset>
            </wp:positionV>
            <wp:extent cx="7134225"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significant non-cash investing or financing transactions during the six months ended June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Supplementary cash flow information:</w:t>
            </w:r>
          </w:p>
        </w:tc>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3"/>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received</w:t>
            </w:r>
          </w:p>
        </w:tc>
        <w:tc>
          <w:tcPr>
            <w:tcW w:w="50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645"/>
        </w:trPr>
        <w:tc>
          <w:tcPr>
            <w:tcW w:w="41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jc w:val="right"/>
              <w:ind w:right="3451"/>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type w:val="continuous"/>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Etolies Capital Group Co., Ltd. (the “Company”) is an exempted company with limited liability, incorporated under the laws of the Cayman Islands on September 13, 2024, as a holding company. Our business operations are conducted through our indirect wholly-owned Hong Kong subsidiary, Etoiles Consultancy Limited (“Etoiles Consultancy”). We also own Etoiles Financial Group Limited (“Etoiles Financial”), a company with no material operations of its own and mainly used to handle administrative expense.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operate as a single-segment business, specializing in integrated investor relations services in 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investor relations services encompass a comprehensive range of offerings tailored to meet the needs of our clients.</w:t>
      </w:r>
    </w:p>
    <w:p>
      <w:pPr>
        <w:spacing w:after="0" w:line="218"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Public Relations Management involves assisting clients in enhancing their corporate image by developing strategic promotional plans, preparing corporate presentations and investor materials, and designing investor relations websites. Our Hong Kong Operating Subsidiary also creates advertising strategies and publicity materials to strengthen brand visibility. Additionally, our Hong Kong Operating Subsidiary provides support for key corporate events, including roadshows, press conferences, corporate ceremonies, and media interviews. In times of crisis, we assist in managing communication and reputation risks effectively.</w:t>
      </w:r>
    </w:p>
    <w:p>
      <w:pPr>
        <w:spacing w:after="0" w:line="18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Investor Relations Management focuses on strengthening relationships between our clients and their investors. Our Hong Kong Operating Subsidiary assists in drafting investor relations media documents, coordinating shareholder meetings and press conferences, and helping clients identify and engage with their shareholders to foster better investor communication and transparency.</w:t>
      </w:r>
    </w:p>
    <w:p>
      <w:pPr>
        <w:spacing w:after="0" w:line="17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Tailored Due Diligence Services are designed to support clients in evaluating specific investment or acquisition targets worldwide. Our Hong Kong Operating Subsidiary’s services include reviewing statutory records, conducting site visits, and preparing detailed due diligence reports to facilitate informed decision-making.</w:t>
      </w:r>
    </w:p>
    <w:p>
      <w:pPr>
        <w:spacing w:after="0" w:line="176"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In addition to these core services, our Hong Kong Operating Subsidiary offers Value-Added Services such as website design enhancements and the production of high-quality promotional videos, ensuring that our clients maintain a strong and compelling presence in the market.</w:t>
      </w:r>
    </w:p>
    <w:p>
      <w:pPr>
        <w:spacing w:after="0" w:line="164"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spacing w:after="0" w:line="18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through our Hong Kong Operating Subsidiary, have achieved significant growth in our business. For each of the six months ended June 30, 2025 and 2024, our total revenue was approximately US$1.8 million and US$0.6 million, respectively. The number of clients with revenue contribution to us was 9 for the six months ended June 30, 2024 and 17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410210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shares of the Company began trading on the Nasdaq Capital Market on August 8, 2025, under the ticker symbol “EFTY”. The Company consummated its initial public offering of 1,400,000 Class A ordinary shares. As a result, the Company has raised aggregate gross proceeds of US$5,600,000 in the initial public offering, before deducting underwriting discounts and other related expenses.</w:t>
      </w:r>
    </w:p>
    <w:p>
      <w:pPr>
        <w:spacing w:after="0" w:line="17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October 3, 2025, the U.S. Securities and Exchange Commission (the “SEC”) made an order suspending trading in the securities of Etoiles Capital Group Co., Ltd (the “Company”) for the period from 4:00 a.m. ET on October 6, 2025, through 11:59 p.m. p.m. ET on October 17, 2025 (the “Suspension Period”) because of potential manipulation in the securities of the Company effectuated through recommendations, made to investors by unknown persons via social media to purchase the securities of the Company, which appear to be designed to artificially inflate the price and volume of the securities of the Company. The order is available at https://www.sec.gov/files/litigation/suspensions/2025/34-104163.pdf.</w:t>
      </w:r>
    </w:p>
    <w:p>
      <w:pPr>
        <w:spacing w:after="0" w:line="18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response to Nasdaq’s subsequent request for information relating to the SEC suspension and other related matters, the Company submitted a written response to Nasdaq on October 12, 2025.</w:t>
      </w:r>
    </w:p>
    <w:p>
      <w:pPr>
        <w:spacing w:after="0" w:line="164" w:lineRule="exact"/>
        <w:rPr>
          <w:sz w:val="20"/>
          <w:szCs w:val="20"/>
          <w:color w:val="auto"/>
        </w:rPr>
      </w:pPr>
    </w:p>
    <w:p>
      <w:pPr>
        <w:jc w:val="both"/>
        <w:ind w:firstLine="319"/>
        <w:spacing w:after="0" w:line="305" w:lineRule="auto"/>
        <w:rPr>
          <w:sz w:val="20"/>
          <w:szCs w:val="20"/>
          <w:color w:val="auto"/>
        </w:rPr>
      </w:pPr>
      <w:r>
        <w:rPr>
          <w:rFonts w:ascii="Times New Roman" w:cs="Times New Roman" w:eastAsia="Times New Roman" w:hAnsi="Times New Roman"/>
          <w:sz w:val="17"/>
          <w:szCs w:val="17"/>
          <w:color w:val="auto"/>
        </w:rPr>
        <w:t xml:space="preserve">On October 18, 2025, Nasdaq issued a public notice stating that trading in the Company’s securities will remain halted pending the receipt of additional information from the Company. The notice is available at </w:t>
      </w:r>
      <w:r>
        <w:rPr>
          <w:rFonts w:ascii="Times New Roman" w:cs="Times New Roman" w:eastAsia="Times New Roman" w:hAnsi="Times New Roman"/>
          <w:sz w:val="17"/>
          <w:szCs w:val="17"/>
          <w:i w:val="1"/>
          <w:iCs w:val="1"/>
          <w:color w:val="auto"/>
        </w:rPr>
        <w:t>https://ir.nasdaq.com/news-releases/news-release-details/nasdaq-halts-etoiles-capital-group-co-ltd</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the date of this report, the Company has not received any further follow-up requests from Nasdaq and continues to closely monitor the situation. The Company remains fully committed to cooperating with Nasdaq, the SEC and all relevant regulatory authorities to address any outstanding matters in a transparent and timely manner.</w:t>
      </w:r>
    </w:p>
    <w:p>
      <w:pPr>
        <w:spacing w:after="0" w:line="17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wishes to state clearly that it has not authorized, participated in, or been involved with any promotion or recommendation of its securities via social media or otherwise. The Company’s management and the board of directors take this matter very seriously. The Company is fully committed to cooperating with the SEC and all relevant regulatory authorities during the Suspension Period.</w:t>
      </w:r>
    </w:p>
    <w:p>
      <w:pPr>
        <w:spacing w:after="0" w:line="17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further emphasizes that its daily operations and business activities remain normal and unaffected by the suspension of trading. The Company continues to carry out its business plans and serve its clients as usual.</w:t>
      </w:r>
    </w:p>
    <w:p>
      <w:pPr>
        <w:spacing w:after="0" w:line="16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the Company becomes aware of any false, misleading, or libelous information being circulated concerning the Company, its management, or its securities, the Company will take all necessary and appropriate legal actions to safeguard its interests and to protect its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 of Operations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discussion is based on our Group’s historical results of operations and may not be indicative of our Group’s future operating performance.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2025 and 2024</w:t>
      </w:r>
    </w:p>
    <w:p>
      <w:pPr>
        <w:spacing w:after="0" w:line="22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sets forth key components of our results of operations for the six months ended June 30, 2025 and 2024. The historical results presented below are not necessarily indicative of the results that may be expected for any future period.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60"/>
              <w:spacing w:after="0" w:line="193"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1"/>
              <w:spacing w:after="0" w:line="193"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31"/>
              <w:spacing w:after="0" w:line="193"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40"/>
        </w:trPr>
        <w:tc>
          <w:tcPr>
            <w:tcW w:w="5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variance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1,800,576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1,193,461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13"/>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(250,909)</w:t>
            </w:r>
          </w:p>
        </w:tc>
        <w:tc>
          <w:tcPr>
            <w:tcW w:w="160" w:type="dxa"/>
            <w:vAlign w:val="bottom"/>
          </w:tcPr>
          <w:p>
            <w:pPr>
              <w:spacing w:after="0"/>
              <w:rPr>
                <w:sz w:val="18"/>
                <w:szCs w:val="18"/>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(226,239)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(80,223)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(55,416)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(736,522)</w:t>
            </w:r>
          </w:p>
        </w:tc>
        <w:tc>
          <w:tcPr>
            <w:tcW w:w="160" w:type="dxa"/>
            <w:vAlign w:val="bottom"/>
          </w:tcPr>
          <w:p>
            <w:pPr>
              <w:spacing w:after="0"/>
              <w:rPr>
                <w:sz w:val="19"/>
                <w:szCs w:val="19"/>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(331,555)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(404,967)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7"/>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(1,067,654)</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(613,210)</w:t>
            </w:r>
          </w:p>
        </w:tc>
        <w:tc>
          <w:tcPr>
            <w:tcW w:w="22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(454,444)</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3"/>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 (LOSS) FROM OPERATIONS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732,922</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(6,095)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739,017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12,125.0%</w:t>
            </w:r>
          </w:p>
        </w:tc>
        <w:tc>
          <w:tcPr>
            <w:tcW w:w="0" w:type="dxa"/>
            <w:vAlign w:val="bottom"/>
          </w:tcPr>
          <w:p>
            <w:pPr>
              <w:spacing w:after="0"/>
              <w:rPr>
                <w:sz w:val="1"/>
                <w:szCs w:val="1"/>
                <w:color w:val="auto"/>
              </w:rPr>
            </w:pPr>
          </w:p>
        </w:tc>
      </w:tr>
      <w:tr>
        <w:trPr>
          <w:trHeight w:val="213"/>
        </w:trPr>
        <w:tc>
          <w:tcPr>
            <w:tcW w:w="5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(5,927)</w:t>
            </w:r>
          </w:p>
        </w:tc>
        <w:tc>
          <w:tcPr>
            <w:tcW w:w="160" w:type="dxa"/>
            <w:vAlign w:val="bottom"/>
          </w:tcPr>
          <w:p>
            <w:pPr>
              <w:spacing w:after="0"/>
              <w:rPr>
                <w:sz w:val="20"/>
                <w:szCs w:val="20"/>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(1,938)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13"/>
        </w:trPr>
        <w:tc>
          <w:tcPr>
            <w:tcW w:w="5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 (LOSS) BEFORE INCOME TAXES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726,995</w:t>
            </w:r>
          </w:p>
        </w:tc>
        <w:tc>
          <w:tcPr>
            <w:tcW w:w="160" w:type="dxa"/>
            <w:vAlign w:val="bottom"/>
          </w:tcPr>
          <w:p>
            <w:pPr>
              <w:spacing w:after="0"/>
              <w:rPr>
                <w:sz w:val="18"/>
                <w:szCs w:val="18"/>
                <w:color w:val="auto"/>
              </w:rPr>
            </w:pPr>
          </w:p>
        </w:tc>
        <w:tc>
          <w:tcPr>
            <w:tcW w:w="11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(8,033)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735,028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9,150.1%</w:t>
            </w: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(expenses) / credit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(98,965)</w:t>
            </w:r>
          </w:p>
        </w:tc>
        <w:tc>
          <w:tcPr>
            <w:tcW w:w="160" w:type="dxa"/>
            <w:vAlign w:val="bottom"/>
          </w:tcPr>
          <w:p>
            <w:pPr>
              <w:spacing w:after="0"/>
              <w:rPr>
                <w:sz w:val="19"/>
                <w:szCs w:val="19"/>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1,219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(8,218.5)%</w:t>
            </w:r>
          </w:p>
        </w:tc>
        <w:tc>
          <w:tcPr>
            <w:tcW w:w="0" w:type="dxa"/>
            <w:vAlign w:val="bottom"/>
          </w:tcPr>
          <w:p>
            <w:pPr>
              <w:spacing w:after="0"/>
              <w:rPr>
                <w:sz w:val="1"/>
                <w:szCs w:val="1"/>
                <w:color w:val="auto"/>
              </w:rPr>
            </w:pPr>
          </w:p>
        </w:tc>
      </w:tr>
      <w:tr>
        <w:trPr>
          <w:trHeight w:val="27"/>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46"/>
        </w:trPr>
        <w:tc>
          <w:tcPr>
            <w:tcW w:w="59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2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634,844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9,316.8</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revenue by geographical area for the six months ended June 30, 2025 and 2024,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20" w:type="dxa"/>
            <w:vAlign w:val="bottom"/>
          </w:tcPr>
          <w:p>
            <w:pPr>
              <w:spacing w:after="0"/>
              <w:rPr>
                <w:sz w:val="20"/>
                <w:szCs w:val="20"/>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24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1,069,755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16,443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(16,443)</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140,149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140,149</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line="20" w:lineRule="exact"/>
              <w:rPr>
                <w:sz w:val="1"/>
                <w:szCs w:val="1"/>
                <w:color w:val="auto"/>
              </w:rPr>
            </w:pPr>
          </w:p>
        </w:tc>
      </w:tr>
      <w:tr>
        <w:trPr>
          <w:trHeight w:val="233"/>
        </w:trPr>
        <w:tc>
          <w:tcPr>
            <w:tcW w:w="592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607,115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1,193,461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our total revenue increased significantly to US$1,800,576, compared to US$607,115 for the six months ended June 30, 2024. This substantial growth was primarily driven by an expansion in our service offerings and a significant increase in client engagements. The majority of our revenue was generated from clients based in Hong Kong, which accounted for US$1,660,427, followed by US$140,149 from the United States. The increase in revenue was primarily attributable to the rising demand for investor relations services from Hong Kong-listed and U.S.-listed companies, as well as pre-IPO firms seeking advisory support.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operating expenses consist of the following:</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26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8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bottom w:val="single" w:sz="8" w:color="CCEEFF"/>
            </w:tcBorders>
            <w:gridSpan w:val="2"/>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80,223</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55,416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736,522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331,555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404,967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line="20" w:lineRule="exact"/>
              <w:rPr>
                <w:sz w:val="1"/>
                <w:szCs w:val="1"/>
                <w:color w:val="auto"/>
              </w:rPr>
            </w:pPr>
          </w:p>
        </w:tc>
      </w:tr>
      <w:tr>
        <w:trPr>
          <w:trHeight w:val="233"/>
        </w:trPr>
        <w:tc>
          <w:tcPr>
            <w:tcW w:w="598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1,067,654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613,210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454,444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Operating expenses for the six months ended June 30, 2025, increased to US$1,067,654, compared to US$613,210 for the six months ended June 30, 2024. The rise in expenses was primarily due to the costs associated with business expansion, increased staffing, and higher service execution costs. Direct cost of revenue increased to US$250,909, reflecting higher subcontracting and supplier fees. Selling expenses amounted to US$80,223, primarily due to marketing and business development efforts, while general and administrative expenses increased to US$736,522 as a result of new hires and investments in operational infrastructure.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(expense) mainly represents net of other income and interest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credit</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income tax expenses increased by US$100,184 or 8,218.5%, from tax credit of US$1,219 for the six months ended June 30, 2024, to tax expense of US$98,965 for the six months ended June 30, 2025 in line with increase in taxable income for the six months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a result of the foregoing, we reported a net profit of US$628,030 for the six months ended June 30, 2025, as compared to a net loss of US$6,814 for the six months ended June 30, 2024 as the reasons discussed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financed our operations primarily through cash flows from operations.</w:t>
      </w:r>
    </w:p>
    <w:p>
      <w:pPr>
        <w:spacing w:after="0" w:line="218"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As of June 30, 2025, we had cash and cash equivalents of approximately US$1.45 million. We remain debt-free, with no outstanding bank borrowings, positioning us well to fund our ongoing operations and support future growth initiatives without leverage. As of June 30, 2025, our current assets were approximately US$2.05 million, and our current liabilities were approximately US$1.66 million. As of December 31, 2024, our current assets were approximately US$1.77 million, and our current liabilities were approximately US$1.18 million. Current ratio lowered from approximately 1.5 in 2024 to 1.2 in 2025.</w:t>
      </w:r>
    </w:p>
    <w:p>
      <w:pPr>
        <w:spacing w:after="0" w:line="18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view of the current cash and bank balances and funds generated by operating activities, we believe our Company has sufficient resources to meet the working capital needs in the next 12 months from the date the unaudited interim condensed consolidated statements are issued. However, our ability to meet the liquidity and capital requirement will be subject to future economic conditions and other factors which are beyond our control.</w:t>
      </w:r>
    </w:p>
    <w:p>
      <w:pPr>
        <w:spacing w:after="0" w:line="17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may declare or pay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six months ended June 30, 2025 and 2024:</w:t>
      </w:r>
    </w:p>
    <w:p>
      <w:pPr>
        <w:spacing w:after="0" w:line="21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8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256,955</w:t>
            </w:r>
          </w:p>
        </w:tc>
        <w:tc>
          <w:tcPr>
            <w:tcW w:w="100" w:type="dxa"/>
            <w:vAlign w:val="bottom"/>
            <w:shd w:val="clear" w:color="auto" w:fill="CCEEFF"/>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(73,008)</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(73,847)</w:t>
            </w:r>
          </w:p>
        </w:tc>
      </w:tr>
      <w:tr>
        <w:trPr>
          <w:trHeight w:val="21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(603,401)</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4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23,368</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183,108</w:t>
            </w:r>
          </w:p>
        </w:tc>
      </w:tr>
      <w:tr>
        <w:trPr>
          <w:trHeight w:val="21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4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(10,256)</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24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1,441,024</w:t>
            </w:r>
          </w:p>
        </w:tc>
        <w:tc>
          <w:tcPr>
            <w:tcW w:w="22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r>
        <w:trPr>
          <w:trHeight w:val="21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year</w:t>
            </w:r>
          </w:p>
        </w:tc>
        <w:tc>
          <w:tcPr>
            <w:tcW w:w="24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253,586</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our net cash provided by operating activities was approximately US$0.7 million, which primarily reflected cash inflow from our net income of approximately US$0.6 million adjusted for net changes in assets and liabilities of approximately US$0.07 million, which mainly represent an increase in accounts receivable of approximately US$0.3 million, an increase in deposits and other current assets of approximately US$0.3 million, an increase in contract liabilities of approximately US$0.2 million and a decrease of amount due from a director of approximately US$0.3 million.</w:t>
      </w:r>
    </w:p>
    <w:p>
      <w:pPr>
        <w:spacing w:after="0" w:line="18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our net cash provided by operating activities was approximately US$0.3 million, which primarily reflected cash inflow to our net loss of US$6,814 and net changes in assets and liabilities of approximately US$0.3 million, which mainly represent an increase in accrued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and 2024 were US$73,008 and US$73,847 respectively, mainly represent cash payment for purchase of property and equipment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the six months ended June 30, 2025, net cash used in financing activities was approximately US$0.6 million, mainly representing payments made for deferred IPO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subject to loss contingencies, such as legal proceedings and claims arising out of our business, that cover a wide range of matters, including, among others, government investigations and tax matters. In accordance with ASC No. 450-20, “Loss Contingencies”, we will record accruals for such loss contingencies when it is probable that a liability has been incurred and the amount of loss can be reasonably estimated.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schedule of future minimum payments under operating leases as of June 30, 2025:</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0"/>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ending June 30,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184,714</w:t>
            </w:r>
          </w:p>
        </w:tc>
        <w:tc>
          <w:tcPr>
            <w:tcW w:w="100" w:type="dxa"/>
            <w:vAlign w:val="bottom"/>
            <w:shd w:val="clear" w:color="auto" w:fill="CCEEFF"/>
          </w:tcPr>
          <w:p>
            <w:pPr>
              <w:spacing w:after="0"/>
              <w:rPr>
                <w:sz w:val="18"/>
                <w:szCs w:val="18"/>
                <w:color w:val="auto"/>
              </w:rPr>
            </w:pPr>
          </w:p>
        </w:tc>
      </w:tr>
      <w:tr>
        <w:trPr>
          <w:trHeight w:val="23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Period ending June 30, 2027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101,912</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obligations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(11,888)</w:t>
            </w:r>
          </w:p>
        </w:tc>
      </w:tr>
      <w:tr>
        <w:trPr>
          <w:trHeight w:val="24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recognized in the consolidated balance sheet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the six months ended June 30, 2025 and 2024, we purchased US$73,008 and US$73,847, respectively, of property and equipment respectively, mainly for use in our operations.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(“U.S. GAAP”), requires management to make estimates and assumptions that affect the reported amounts of assets and liabilities, disclosure of contingent assets and liabilities at the date of the unaudited interim condensed consolidated statements and the reported amounts of revenues and expenses during the reporting periods. Management makes these estimates using the best information available when the calculations are made; however, actual results could differ materially from those estimates.</w:t>
      </w:r>
    </w:p>
    <w:p>
      <w:pPr>
        <w:spacing w:after="0" w:line="18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are the key assumptions concerning the future, and other key sources of estimation uncertainty at the end of the reporting period, that may have a significant risk of causing a material adjustment to the carrying amounts of assets and liabilities within the next financial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trade receivables</w:t>
      </w:r>
    </w:p>
    <w:p>
      <w:pPr>
        <w:spacing w:after="0" w:line="22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management estimates the amount of lifetime expected credit loss (“ECL”) of trade receivables based on provision matrix through grouping of various debtors that have similar credit risk characteristics based on nature and industry of debtors. Internal credit rating has been given to each category of debtors after considering aging, historical observed default rates, repayment history and past due status of respective trade receivables. Estimated loss rates are based on probability of default and loss given default with reference to an external credit report and are adjusted for forward-looking information that is reasonable and supportable available without undue cost or effort. In addition, trade receivables that are credit-impaired are assessed for ECL individually. The credit loss allowance amount of the credit-impaired trade receivables is measured as the difference between the asset’s carrying amount and the present value of estimated future cash flows with the consideration of expected future credit losses. At every reporting date, the historical observed default rates are reassessed and changes in the forward-looking information are considered.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including cash and cash equivalents, accounts and other receivables, accrued liabilities, amounts due from (to) related parties and lease liabilities,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unaudited interim condensed consolidated balance sheets for cash and cash equivalents, accounts and other receivables,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spacing w:after="0" w:line="190" w:lineRule="exact"/>
        <w:rPr>
          <w:sz w:val="20"/>
          <w:szCs w:val="20"/>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used quoted prices for identical assets or liabilities in active markets.</w:t>
      </w:r>
    </w:p>
    <w:p>
      <w:pPr>
        <w:spacing w:after="0" w:line="218"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18"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Company analyzes all financial instruments with features of both liabilities and equity under ASC 480, “Distinguishing Liabilities from Equity” and ASC 815, “Derivatives and Hedging”.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Effective January 1, 2023, the Company adopted ASU 2016-02, “Leases” (Topic 842), and elected the practical expedients that do not require us to reassess: (1) whether any expired or existing contracts are, or contain, leases, (2) lease classification for any expired or existing leases and (3) initial direct costs for any expired or existing leases. For lease terms of twelve months or fewer, a lessee is permitted to make an accounting policy election not to recognize lease assets and liabilities. The Company also adopted the practical expedient that allows lessees to treat the lease and non-lease components of a lease as a single lease component.</w:t>
      </w:r>
    </w:p>
    <w:p>
      <w:pPr>
        <w:spacing w:after="0" w:line="18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w:t>
      </w:r>
    </w:p>
    <w:p>
      <w:pPr>
        <w:spacing w:after="0" w:line="18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June 30, 2025 and 2024, there were US$274,738 and US$53,418 right of use (“ROU”) assets and US$274,738 and US$53,418 lease liabilities based on the present value of the future minimum rental payments of leases, respectively. The Company’s management believes that using an incremental borrowing rate of the Hong Kong Dollar Prime lending Rate 5.25% p.a. (2024: 5.25% p.a.) was the most indicative rate of the Company’s borrowing cost for the calculation of the present value of the lease payments; the rate used by the Company was 5.25% p.a. (2024: 5.25% p.a.).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Effective January 1, 2023, the Company adopted ASC 606 “Revenue from Contracts with Customers”, which replaced ASC Topic 605, using the modified retrospective method of adoption. Results for reporting periods beginning after January 1, 2023 are presented under ASC Topic 606 while prior period amounts are not adjusted and continue to be presented under the Company’s historic accounting under ASC Topic 605. The Company’s accounting for revenue remains substantially unchanged. There were no cumulative effect adjustments for service contracts in place prior to January 1, 2023. The effect from the adoption of ASC Topic 606 was not material to the Company’s consolidated financial statements.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five-step model defined by ASC Topic 606 requires the Company to:</w:t>
      </w:r>
    </w:p>
    <w:p>
      <w:pPr>
        <w:spacing w:after="0" w:line="218" w:lineRule="exact"/>
        <w:rPr>
          <w:sz w:val="20"/>
          <w:szCs w:val="20"/>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contracts with customers;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performance obligations under those contracts;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prices of those contracts;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prices to its performance obligations in those contracts; and</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each performance obligation under those contracts is satisfied. Revenue is recognized when promised services are transferred to the client in an amount that reflects the consideration expected in exchange for those services.</w:t>
      </w:r>
    </w:p>
    <w:p>
      <w:pPr>
        <w:spacing w:after="0" w:line="16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its customers that outline the rights, responsibilities, and obligations of each party in the invoices. The invoices also identify the scope of services, service fees, and payment terms. Invoices are acknowledged and accepted by both parties. All the contracts have commercial substance, and it is probable that the Company will collect considerations from its customers for service component.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Principal vs. Agent Considerations under ASC 606</w:t>
      </w:r>
    </w:p>
    <w:p>
      <w:pPr>
        <w:spacing w:after="0" w:line="22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Under ASC 606, the Company has evaluated whether it acts as a principal or an agent in its revenue transactions. The distinction is crucial as it affects how revenue is recognized:</w:t>
      </w:r>
    </w:p>
    <w:p>
      <w:pPr>
        <w:spacing w:after="0" w:line="164" w:lineRule="exact"/>
        <w:rPr>
          <w:sz w:val="20"/>
          <w:szCs w:val="20"/>
          <w:color w:val="auto"/>
        </w:rPr>
      </w:pPr>
    </w:p>
    <w:p>
      <w:pPr>
        <w:ind w:left="640" w:right="20" w:hanging="315"/>
        <w:spacing w:after="0" w:line="275"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The Company acts as the principal if it controls the specified goods or services before they are transferred to the customer. As a principal, the Company recognizes revenue for the gross amount of consideration expected from the customer.</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The Company acts as an agent if it facilitates the provision of goods or services by another party. As an agent, revenue is recognized as the net amount of the fee or commission earned for arranging the goods or services.</w:t>
      </w:r>
    </w:p>
    <w:p>
      <w:pPr>
        <w:spacing w:after="0" w:line="16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all the revenue types described below, the Company has determined that it acts as the principal. This conclusion is based on the Company’s control over the goods or services before they are transferred to the customer, its primary responsibility for fulfilling the contract, its exclusive right to select service providers, and its discretion in establishing pricing.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cost of revenue for the Group primarily comprises subcontracting fees and salaries directly related to revenue generation.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Accounts receivable represents trade accounts due from customers. The trade receivables are all without customer collateral and interest is not accrued on past due accounts. Management reviews its receivables on a regular basis to determine if the bad debt allowance is adequate and provides allowance when necessary. The allowance is based on management’s best estimates of specific losses on individual customer exposures, as well as the historical trends of collections. Account balances are charged off against the allowance after all means of collection have been exhausted and the likelihood of collection is not probable. As of June 30, 2025 and 2024, the Company didn’t provide any allowance for doubtful accounts for accounts receivable.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w:t>
      </w:r>
    </w:p>
    <w:p>
      <w:pPr>
        <w:spacing w:after="0" w:line="222" w:lineRule="exact"/>
        <w:rPr>
          <w:sz w:val="20"/>
          <w:szCs w:val="20"/>
          <w:color w:val="auto"/>
        </w:rPr>
      </w:pPr>
    </w:p>
    <w:p>
      <w:pPr>
        <w:jc w:val="both"/>
        <w:ind w:firstLine="319"/>
        <w:spacing w:after="0" w:line="270" w:lineRule="auto"/>
        <w:rPr>
          <w:sz w:val="20"/>
          <w:szCs w:val="20"/>
          <w:color w:val="auto"/>
        </w:rPr>
      </w:pPr>
      <w:r>
        <w:rPr>
          <w:rFonts w:ascii="Times New Roman" w:cs="Times New Roman" w:eastAsia="Times New Roman" w:hAnsi="Times New Roman"/>
          <w:sz w:val="17"/>
          <w:szCs w:val="17"/>
          <w:color w:val="auto"/>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The Company adopted the new standard effective January 1, 2023, the first day of the Company’s fiscal year and applied to accounts receivable and other financial instruments. The adoption of this guidance did not materially impact the net earning and financial position and has no impact on the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2"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The Company accounts for income taxes pursuant to ASC Topic 740, Income Taxes. Income taxes are provided on an asset and liability approach for financial accounting and reporting of income taxes. Any tax paid by subsidiaries during the year is recorded. Current tax is based on the profit or loss from ordinary activities adjusted for items that are non-assessable or disallowable for income tax purpose and is calculated using tax rates that have been enacted or substantively enacted at the balance sheet date. ASC Topic 740 also requires the recognition of deferred tax assets and liabilities for both the expected impact of differences between the financial statements and the tax basis of assets and liabilities, and for the expected future tax benefit to be derived from tax losses and tax credit carry-forwards. ASC Topic 740 additionally requires the establishment of a valuation allowance to reflect the likelihood of realization of deferred tax assets. Realization of deferred tax assets are dependent upon future earnings, if any, of which the timing and amount are uncertain.</w:t>
      </w:r>
    </w:p>
    <w:p>
      <w:pPr>
        <w:spacing w:after="0" w:line="17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adopted ASC Topic 740-10-05, “Income Taxes: Overview and Background”, which provides guidance for recognizing and measuring uncertain tax positions, it prescribes a threshold condition that a tax position must meet for any of the benefits of the uncertain tax position to be recognized in the financial statements. It also provides accounting guidance on derecognizing, classification and disclosure of these uncertain tax positions.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and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 and Credit Risk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in-house research and analysis of the Hong Kong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the risk that we will be unable to provide sufficient capital resources and liquidity to meet our commitments and business needs. Liquidity risk is controlled by the application of financial position analysis and monitoring procedures. When necessary, we will turn to financial institutions and related parties to obtain short-term funding to cover any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Inflationary factors, such as increases in the cost of revenue, selling expenses and general and administrative expenses,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from our products do not increase with such increased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rate that our deposited cash can earn, on the other hand, interest-earning instruments carry a degree of interest rate risk. In addition, we are exposed to variable interest rate risk principally from our existing Hong Kong dollars denominated bank borrowings. An increase will raise the cost of those debts.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While our reporting currency is the U.S. dollar, the majority of our consolidated revenues, costs, and expenses are denominated in Hong Kong dollars. Most of our assets are also held in Hong Kong dollars. As a result, we are exposed to foreign exchange risk, as fluctuations in the exchange rates between the U.S. dollar and Hong Kong dollar can impact our revenues and operating results. If the Hong Kong dollar depreciates against the U.S. dollar, the value of our revenues, earnings, and assets, as expressed in our U.S. dollar financial statements, will decline. Currently, we have not entered into any hedging transactions to mitigate this foreign exchange risk.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2025-12-30T07:28:53Z</dcterms:created>
  <dcterms:modified xsi:type="dcterms:W3CDTF">2025-12-30T07:28:53Z</dcterms:modified>
</cp:coreProperties>
</file>