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0" w:name="ea0305667-424b3_etoiles.htm"/>
      <w:bookmarkStart w:id="1" w:name="ksea0305667424b3_etoiles"/>
      <w:bookmarkEnd w:id="0"/>
      <w:bookmarkEnd w:id="1"/>
      <w:r>
        <w:rPr>
          <w:rFonts w:ascii="Times New Roman;Times;Serif" w:hAnsi="Times New Roman;Times;Serif"/>
          <w:b/>
          <w:i w:val="false"/>
          <w:caps w:val="false"/>
          <w:smallCaps w:val="false"/>
          <w:sz w:val="20"/>
        </w:rPr>
        <w:t>Filed Pursuant to Rule 424(b)(3)</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333-298341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FOR UP TO 15,110,000 SHARES OF COMMON STOCK, OF ETOILES CAPITAL GROUP CO., LTD AFTER ITS DOMESTICATION AS 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INCORPORATED IN THE STATE OF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general meeting (“annual general meeting”) of shareholders of Etoiles Capital Group Co., Ltd, a Cayman Islands exempted company (“Etoiles Capital,” the “Company,” “we,” “us” or “our”), to be held at Unit 03-04, 25/F, Cosco Tower, 183 Queen’s Road Central, Sheung Wan, Hong Kong and virtually via live webcast at 9:00 a.m. Eastern Time on October 15, 2026 (October 15, 2026, at 9:00 p.m., local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the meeting, the business to be conducted at the meeting, and information about Etoiles Capital that you should consider when you vote your shares are described in the accompanying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Domestication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“Etoiles Capital Board”) unanimously approved, on August 12, 2026,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 The domestication would be effected pursuant to Section 92A.270 of the Nevada Revised Statutes of the State of Nevada and Sections 206 and 207 of the Companies Act (As Revised) of the Cayman Islands. The continuing entity following the domestication, which we refer to as “Etoiles Capital Nevada,” will continue to be named Etoiles Capital Group Co., Ltd after the domestication and existing shareholders of our ordinary shares would hold shares in Etoiles Capital Nevada rather than in a Cayman Islands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the domestication for a number of reasons. In 2026, the Etoiles Capital Board and our management team undertook a review of our existing structure and operations, and particularly the jurisdiction of incorporation of Etoiles Capital. After considering various factors, the Etoiles Capital Board believes that the domestication will enhance shareholders’ value over the long-term by providing potential strategic opportunities and benefits,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338" w:type="dxa"/>
        <w:jc w:val="left"/>
        <w:tblInd w:w="0" w:type="dxa"/>
        <w:shd w:fill="FFFFFF" w:val="clear"/>
        <w:tblLayout w:type="fixed"/>
        <w:tblCellMar>
          <w:top w:w="0" w:type="dxa"/>
          <w:left w:w="0" w:type="dxa"/>
          <w:bottom w:w="0" w:type="dxa"/>
          <w:right w:w="0" w:type="dxa"/>
        </w:tblCellMar>
      </w:tblPr>
      <w:tblGrid>
        <w:gridCol w:w="38"/>
        <w:gridCol w:w="170"/>
        <w:gridCol w:w="41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1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benefits for our shareholders; and</w:t>
            </w:r>
          </w:p>
        </w:tc>
      </w:tr>
    </w:tbl>
    <w:p>
      <w:pPr>
        <w:pStyle w:val="TextBody"/>
        <w:bidi w:val="0"/>
        <w:spacing w:before="0" w:after="0"/>
        <w:jc w:val="left"/>
        <w:rPr>
          <w:caps w:val="false"/>
          <w:smallCaps w:val="false"/>
        </w:rPr>
      </w:pPr>
      <w:r>
        <w:rPr>
          <w:caps w:val="false"/>
          <w:smallCaps w:val="false"/>
        </w:rPr>
        <w:t> </w:t>
      </w:r>
    </w:p>
    <w:tbl>
      <w:tblPr>
        <w:tblW w:w="5448" w:type="dxa"/>
        <w:jc w:val="left"/>
        <w:tblInd w:w="0" w:type="dxa"/>
        <w:shd w:fill="FFFFFF" w:val="clear"/>
        <w:tblLayout w:type="fixed"/>
        <w:tblCellMar>
          <w:top w:w="0" w:type="dxa"/>
          <w:left w:w="0" w:type="dxa"/>
          <w:bottom w:w="0" w:type="dxa"/>
          <w:right w:w="0" w:type="dxa"/>
        </w:tblCellMar>
      </w:tblPr>
      <w:tblGrid>
        <w:gridCol w:w="38"/>
        <w:gridCol w:w="170"/>
        <w:gridCol w:w="52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2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ability to attract and retain qualified directors.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this proxy statement/prospectus, Etoiles Capital’s shareholders are being asked to consider and vote to approve the domestication. At the effective time of the domestication, by virtue of the domestication and without any further action on the part of any holder thereof, each Class A ordinary share, par value US$0.0001 per share (the “Class A ordinary shares”), issued and outstanding immediately prior to the effective time of the domestication will be automatically converted into one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Class A ordinary shares are currently listed on The Nasdaq Capital Market under the symbol “EFTY.”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Charter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the proposed new certificate of incorporation and an addendum to the proposed new certificate of incorporation of Etoiles Capital Nevada, a copy of which is attached to the proxy statement/prospectus as Annex B1 and Annex B2, respectively, to be effective at the effective time of the domestication, which will alter the rights of shareholders under Etoiles Capital’s second amended and restated memorandum and articles of association, a copy of which is attached to the proxy statement/prospectus as Annex A (the “new charter proposal”). Approvals of both the domestication proposal and the new charter proposal are required to effect the domestication. The approval of each of the domestication proposal and the new charter proposal is conditioned upon the other proposal being approved.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is dated September 21, 2026, and is first being mailed to Etoiles Capital’s shareholders on or about September 29,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Annual Meeting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other proposals at the annual general meeting, including: (i) the election of four director nominees to our Board and (ii) the ratification of the appointment of SRCO, C.P.A., Professional Corporation as our independent registered public accounting firm for our fiscal year ending December 31,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the approval of each of these proposals. Such other business will be transacted as may properly come before the annual general meeting. This proxy statement/prospectus provides you with detailed information about the domestication and other matters to be considered at the annual general meeting. We urge you to carefully read this entire document and the documents incorporated herein by reference. You should also carefully consider the risk factors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9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Hong Kong operating company, but an offshore holding company incorporated in the Cayman Islands. As a holding company with no material operations of our own, we conduct our operations through our operating company in Hong Kong, Etoiles Consultancy Limited (“Etoiles Consultancy”, also “Hong Kong Operating Subsidiary”). We also own Etoiles Financial Group Limited (“Etoiles Financial”), a company with no material operations of its own and is mainly used to handle administrative expenses. References to the “Company”, “we”, “us”, and “our” in this prospectus are to Etoiles Cayman, the Cayman Islands entity that will issue the Class A Ordinary Shares being offered, and its wholly-owned and indirect wholly-owned subsidiaries. References to Etoiles Consultancy in this prospectus is to the Hong Kong entity operating the business and generating all of the revenue and profit stated in the consolidated financial statements of the Company. The Company’s ownership interest in Etoiles Consultancy and Etoiles Financial is held through an intermediate company in the British Virgin Islands (the “BVI”). Etoiles Consultancy and Etoiles Financial are wholly-owned subsidiary of Zynergy Holding Co., Limited, a company incorporated in the BVI. Zynergy Holding Co., Limited is wholly-owned by Etoiles Cayman. Investors in our shares should be aware that they may never hold equity interests in the Hong Kong operating company directly. Investors are purchasing equity solely in Etoiles Cayman, our Cayman Islands holding company, which indirectly owns equity interests in the Hong Kong operating company. Because of our corporate structure, we as well as our investors are subject to unique risks due to uncertainty of the interpretation and the application of PRC laws and regulations. We are also subject to the risks of uncertainty about any future actions of the PRC government in this regard. We may also be subject to sanctions imposed by PRC regulatory agencies, including the China Securities Regulatory Commission (“CSRC”), if we fail to comply with their rules and regulations. PRC regulatory authorities could disallow our operating structure in the future, and this would likely result in a material change in our operations in Hong Kong and/or the value of our securities, which could cause the value of such securities to significantly decline or become worthless. For more information, see “Item 3. Key Information—3.D. Risk Factors” contained in our Annual Report on Form 20-F.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legal and operational risks associated with being based in and having the majority of our operations in Hong Kong. The PRC government may exercise significant oversight and discretion over the conduct of our business and may intervene or influence our operations at any time. Such government actions could result in a material change in our operations and/or the value of the securities we are registering for sale; could significantly limit or completely hinder our ability to continue our operations; could significantly limit or completely hinder our ability to offer or continue to offer our securities to investors; and may cause the value of our securities to significantly decline or be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made a number of public statements on the regulation of business operations in certain areas in China with little advance notice, including cracking down on illegal activities in the securities market, enhancing supervision over China-based companies listed overseas using variable interest entity (“VIE”) structure, adopting new measures to extend the scope of cybersecurity reviews, and expanding the efforts in anti-monopoly enforcement. We do not believe that we are directly subject to these regulatory actions or statements, as we do not operate in mainland China, do not have a VIE structure and our business does not involve the collection of user data, implicate cybersecurity, or involve any other type of restricted industry.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operations or our ability to accept foreign investments and list on a U.S. exchange. Any change in foreign investment regulations, and other policies in China or related enforcement actions by the PRC government could result in a material change in our operations and/or the value of the securities we are registering for sale and could significantly limit or completely hinder our ability to offer or continue to offer our securities to investors or cause the value of our securities to significantly decline or be worthless. See “Item 3. Key Information—3.D. Risk Factors — Risks Related to Doing Business in Hong Kong — 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 and “Item 3. Key Information—3.D. Risk Factors — Risks Related to Doing Business in Hong Kong — 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 respectively,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prohibited from being trading on a national securities exchange or in the over-the-counter market in the United States if the Public Company Accounting Oversight Board (“PCAOB”) is unable to inspect our auditors for two consecutive years. The Holding Foreign Companies Accountable Act (the “HFCA Act”) was enacted on December 18, 2020. Pursuant to the HFCA Act, if the SEC determines that we have filed audit reports issued by a registered public accounting firm that has not been subject to inspection by the PCAOB, for three consecutive years beginning in 2021, the SEC may prohibit our securities from being traded on a national securities exchange or in the over-the-counter market in the United States. On December 23, 2022, the Accelerating Holding Foreign Companies Accountable Act (the “AHFCA Act”) was enacted, which amended the HFCA Act by requiring the SEC to prohibit an issuer’s securities from trading on a national securities exchange or in the over-the-counter market in the United States if its auditor is not subject to PCAOB inspections for two consecutive years instead of three. On December 29, 2022, a legislation entitled “Consolidated Appropriations Act, 2023”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 On December 16, 2021, the PCAOB issued a report on its determinations that it was unable to inspect or investigate completely PCAOB-registered public accounting firms headquartered in mainland China and in Hong Kong, because of positions taken by PRC authorities in those jurisdictions. The PCAOB made its determinations pursuant to PCAOB Rule 6100, which provides a framework for how the PCAOB fulfils its responsibilities under the HFCA. The report further listed in its Appendix A and Appendix B, Registered Public Accounting Firms Subject to the mainland China Determination and Registered Public Accounting Firms Subject to the Hong Kong Determination, respectively. Our auditor, SRCO, C.P.A., Professional Corporation, located at Amherst, New York, registered with the PCAOB, and has been inspected by the PCAOB on a regular basis, with the last inspection in 2024. Our auditor is subject to laws in the United States pursuant to which the PCAOB conducts regular inspections to assess our auditor’s compliance with the applicable professional standards. In addition, our auditors did not appear as part of the PCAOB’s report of determinations under the lists in Appendix A or Appendix B of the report issued by the PCAOB on December 16, 2021. On August 26, 2022, the CSRC, the Ministry of Finance of the PRC, and the PCAOB signed a Statement of Protocol, or the Protocol, governing inspections and investigations of audit firms based in China and Hong Kong and taking the first step toward opening access for the PCAOB to inspect and investigate registered public accounting firms headquartered in mainland China and Hong Kong. Pursuant to the Protocol, the PCAOB shall have independent discretion to select any issuer audits for inspection or investigation and has the unfettered ability to transfer information to the SEC.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continues to demand complete access in mainland China and Hong Kong moving forward and has resumed regular inspections since March 2023. The PCAOB is continuingly pursuing ongoing investigations and may initiate new investigations as needed The PCAOB has indicated that it will act immediately to consider the need to issue new determinations with the HFCA Act if needed. As a result, the time period before the Company’s securities may be prohibited from trading or delisted has been decreased accordingly. Notwithstanding the foregoing, in the event it is later determined that the PCAOB is unable to inspect or investigate completely our auditor, then such lack of inspection could cause our securities to be delisted from the stock exchange. The delisting of our securities, or the threat of their being delisted, may materially and adversely affect the value of your investment. See “Item 3. Key Information—3.D. Risk Factors — 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However, cash may be transmitted from our Hong Kong Operating Subsidiary and Etoiles Financial to Zynergy BVI and between our Hong Kong Operating Subsidiary and Etoiles Financial to Zynergy BVI. For more details, refer to section captioned “Transfers of Cash To and From Our Subsidiaries.”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 There can be no assurance that the PRC government will not intervene or impose restrictions to prevent the cash maintained in Hong Kong from being transferred out or restrict the deployment of the cash into our business or for the payment of dividends. See “Item 3. Key Information—3.D. Risk Factors —We are a holding company and our ability to pay dividends is primarily dependent upon the earnings of, and distributions by, our Hong Kong subsidiaries” and “Consolidated Statements of Changes in Shareholders’ Equity for the Years Ended December 31, 2025, 2024 and 2023” in the Consolidated Financial Statements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may be transferred through our organization in the following manner: (i) funds are transferred to Hong Kong Operating Subsidiary and Etoiles Financial to Zynergy BVI, from Etoiles Cayman through our BVI subsidiary in the form of capital contributions or shareholder loans, as the case may be; and (ii) dividends or other distributions may be paid by Hong Kong Operating Subsidiary and Etoiles Financial to Etoiles Cayman through our BVI subsidiary.</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and up to the date of this prospectus, no transfers, dividends or distributions have been made by Etoiles Cayman, Zynergy BVI, Etoiles Consultancy and Etoiles Financial. We intend to retain all available funds and future earnings, if any, for operation and business development, however, we may pay dividends on our Class A Ordinary Shares in the foreseeable future. As we are a holding company, our ability to make dividend payments, if any, would be contingent upon our receipt of funds from our Hong Kong Operating Subsidiary and Etoiles Financial through an intermediate holding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 will be able to attend the annual general meeting. Whether you plan to attend the annual general meeting or not, it is important that you cast your vote either in person or by proxy. You may vote over the Internet as well as by telephone or by mail. When you have finished reading the proxy statement/prospectus, you are urged to vote in accordance with the instructions set forth in the proxy statement/prospectus. We encourage you to vote by proxy so that your shares will be represented and voted at the meeting, whether or not you can attend.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Etoiles Capital Group Co., Ltd.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0" w:type="dxa"/>
            <w:tcBorders>
              <w:bottom w:val="single" w:sz="12" w:space="0" w:color="000000"/>
            </w:tcBorders>
            <w:tcMar>
              <w:bottom w:w="28" w:type="dxa"/>
            </w:tcMar>
            <w:vAlign w:val="center"/>
          </w:tcPr>
          <w:p>
            <w:pPr>
              <w:pStyle w:val="TableContents"/>
              <w:bidi w:val="0"/>
              <w:spacing w:before="0" w:after="283"/>
              <w:jc w:val="left"/>
              <w:rPr>
                <w:i/>
              </w:rPr>
            </w:pPr>
            <w:r>
              <w:rPr>
                <w:i/>
              </w:rPr>
              <w:t>/s/ Kit Shing, CHEUNG</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21, 2026</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9:00 a.m., Eastern Time (October 15, 2026, at 9:00 p.m., local time)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LOCATION: Unit 03-04, 25/F, Cosco Tower, 183 Queen’s Road Central, Sheung Wan, Hong Kong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ACCESS: https://meeting.vstocktransfer.com/ETOILESOCTOBER26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general meeting (the “annual general meeting”) will be held on October 15, 2026 at 9:00 a.m., Eastern Time (October 15, 2026, at 9:00 p.m., local time), physically at Unit 03-04, 25/F, Cosco Tower, 183 Queen’s Road Central, Sheung Wan, Hong Kong and virtually via live webcast athttps://meeting.vstocktransfer.com/ETOILESOCTOBER26 or at such other time, on such other date and at such other place to which the meeting may be adjourned or postponed. For purposes of attendance at the annual general meeting, all references in this proxy statement/prospectus to “present in person” or “in person” shall mean physically or virtually present at the annual general meeting. In order to be able to watch and listen to the meeting, shareholders must register in advance at the following link: https://meeting.vstocktransfer.com/ETOILESOCTOBER26, and to submit questions in advance, shareholders are required to send those questions in advance of the AGM to ir@etoilesfin.com. For further information about the virtual annual general meeting, please see the section “</w:t>
      </w:r>
      <w:r>
        <w:rPr>
          <w:rFonts w:ascii="Times New Roman;Times;Serif" w:hAnsi="Times New Roman;Times;Serif"/>
          <w:b w:val="false"/>
          <w:i/>
          <w:caps w:val="false"/>
          <w:smallCaps w:val="false"/>
          <w:sz w:val="20"/>
        </w:rPr>
        <w:t>Important Information About the Annual Meeting, Voting and the Domestication Proposal</w:t>
      </w:r>
      <w:r>
        <w:rPr>
          <w:rFonts w:ascii="Times New Roman;Times;Serif" w:hAnsi="Times New Roman;Times;Serif"/>
          <w:b w:val="false"/>
          <w:i w:val="false"/>
          <w:caps w:val="false"/>
          <w:smallCaps w:val="false"/>
          <w:sz w:val="20"/>
        </w:rPr>
        <w:t>” beginning on page iv.</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consider and vote upon a proposal to approve by special resolution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consider and vote upon a proposal to approve by special resolution the proposed new certificate of incorporation and an addendum to the proposed new certificate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by ordinary resolution the appointment of SRCO, C.P.A., Professional Corporation as our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if you were the record owner of Etoiles Capital Group Co., Ltd Class A ordinary shares at the close of business on September 17, 2026. A list of shareholders of record will be available at the annual general meeting and, during the 10 days prior to the annual general meeting, at our principal executive offices located at Unit 03-04, 25/F, Cosco Tower, 183 Queen’s Road Central, Sheung Wan, 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shareholders are cordially invited to attend the annual general meeting. Whether you plan to attend the annual general meeting or not, we urge you to vote and submit your proxy by the Internet, telephone or mail in order to ensure the presence of a quorum. You may change or revoke your proxy at any time before it is voted at the annual general meeting. If you participate in and vote your shares at the annual general meeting, your proxy will not be used.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75"/>
        <w:gridCol w:w="3875"/>
      </w:tblGrid>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OUR BOARD OF DIRECTORS</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5" w:type="dxa"/>
            <w:tcBorders>
              <w:bottom w:val="single" w:sz="12" w:space="0" w:color="000000"/>
            </w:tcBorders>
            <w:tcMar>
              <w:bottom w:w="28" w:type="dxa"/>
            </w:tcMar>
            <w:vAlign w:val="center"/>
          </w:tcPr>
          <w:p>
            <w:pPr>
              <w:pStyle w:val="TableContents"/>
              <w:bidi w:val="0"/>
              <w:spacing w:before="0" w:after="283"/>
              <w:jc w:val="left"/>
              <w:rPr>
                <w:i/>
              </w:rPr>
            </w:pPr>
            <w:r>
              <w:rPr>
                <w:i/>
              </w:rPr>
              <w:t>/s/ Kit Shing, CHEUNG</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Etoiles Capital from other documents that are not included in or delivered with this proxy statement/prospectus. This information is available to you without charge upon your request. You can obtain the documents incorporated by reference into this proxy statement/prospectus free of charge by sending a written request to: Etoiles Capital Group Co., Ltd, Attn: Hon Fai, TAM, Unit 03-04, 25/F, Cosco Tower, 183 Queen’s Road Central, Sheung Wan, Hong Kong.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would like to request any documents that are incorporated by reference into this proxy statement/prospectus, please do so at least five business days before the annual general meeting to be held on October 15, 2026, which is October 7, 2026, in order to receive them before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proxy statement/prospectus, the Notice of 2026 Annual General Meeting of Shareholders, our form of proxy card and our 2025 annual report to shareholders are also available for viewing, printing and downloading at https://ts.vstocktransfer.com/irhlogin/I-ETOILES.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Additionally, you can find a copy of additional information and our Annual Report on Form 20-F, which includes our financial statements for the fiscal year ended December 31, 2025, on the website of the Securities and Exchange Commission (the “SEC”), at www.sec.gov, or in the “SEC Filings” section of the “Financials – SEC Filings” section of our website at https://ir.etoilesgroup.com/financial-information/sec-filings. You may also obtain a printed copy of our Annual Report on Form 20-F, including our financial statements, free of charge, from us by sending a written request to: Etoiles Capital Group Co., Ltd, Attn: Hon Fai, TAM, Unit 03-04, 25/F, Cosco Tower, 183 Queen’s Road Central, Sheung Wan, Hong Kong or contact by telephone number at +852 2398-8699. Exhibits to the Annual Report on Form 20-F or any additional documents incorporated by reference into this proxy statement/prospectus will be provided upon written request and payment of an appropriate processing fee.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see “</w:t>
      </w:r>
      <w:r>
        <w:rPr>
          <w:rFonts w:ascii="Times New Roman;Times;Serif" w:hAnsi="Times New Roman;Times;Serif"/>
          <w:b/>
          <w:i/>
          <w:caps w:val="false"/>
          <w:smallCaps w:val="false"/>
          <w:sz w:val="20"/>
        </w:rPr>
        <w:t>Where You Can Find More Information and Incorporation by Reference</w:t>
      </w:r>
      <w:r>
        <w:rPr>
          <w:rFonts w:ascii="Times New Roman;Times;Serif" w:hAnsi="Times New Roman;Times;Serif"/>
          <w:b/>
          <w:i w:val="false"/>
          <w:caps w:val="false"/>
          <w:smallCaps w:val="false"/>
          <w:sz w:val="20"/>
        </w:rPr>
        <w:t>” beginning on page 58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rPr>
                <w:t>SPECIAL NOTE REGARDING FORWARD-LOOKING STATEMENTS</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ii</w:t>
            </w:r>
          </w:p>
        </w:tc>
      </w:tr>
      <w:tr>
        <w:trPr/>
        <w:tc>
          <w:tcPr>
            <w:tcW w:w="993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rPr>
                <w:t>IMPORTANT INFORMATION ABOUT THE ANNUAL GENERAL MEETING, VOTING AND THE DOMESTICATION PROPOSAL</w:t>
              </w:r>
            </w:hyperlink>
          </w:p>
        </w:tc>
        <w:tc>
          <w:tcPr>
            <w:tcW w:w="275" w:type="dxa"/>
            <w:tcBorders/>
            <w:shd w:fill="FFFF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iv</w:t>
            </w:r>
          </w:p>
        </w:tc>
      </w:tr>
      <w:tr>
        <w:trPr/>
        <w:tc>
          <w:tcPr>
            <w:tcW w:w="993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rPr>
                <w:t>SUMMARY OF THE PROXY STATEMENT/PROSPECTUS</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w:t>
            </w:r>
          </w:p>
        </w:tc>
      </w:tr>
      <w:tr>
        <w:trPr/>
        <w:tc>
          <w:tcPr>
            <w:tcW w:w="993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rPr>
                <w:t>RISK FACTORS</w:t>
              </w:r>
            </w:hyperlink>
          </w:p>
        </w:tc>
        <w:tc>
          <w:tcPr>
            <w:tcW w:w="275" w:type="dxa"/>
            <w:tcBorders/>
            <w:shd w:fill="FFFFFF" w:val="clear"/>
            <w:vAlign w:val="center"/>
          </w:tcPr>
          <w:p>
            <w:pPr>
              <w:pStyle w:val="TableContents"/>
              <w:bidi w:val="0"/>
              <w:spacing w:before="0" w:after="283"/>
              <w:ind w:left="0" w:right="0" w:hanging="180"/>
              <w:jc w:val="center"/>
              <w:rPr/>
            </w:pPr>
            <w:r>
              <w:rPr/>
              <w:t>9</w:t>
            </w:r>
          </w:p>
        </w:tc>
      </w:tr>
      <w:tr>
        <w:trPr/>
        <w:tc>
          <w:tcPr>
            <w:tcW w:w="993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rPr>
                <w:t>PROPOSAL NO. 1 THE DOMESTICATION PROPOSAL</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12</w:t>
            </w:r>
          </w:p>
        </w:tc>
      </w:tr>
      <w:tr>
        <w:trPr/>
        <w:tc>
          <w:tcPr>
            <w:tcW w:w="993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rPr>
                <w:t>PROPOSAL NO. 2 NEW CHARTER PROPOSAL</w:t>
              </w:r>
            </w:hyperlink>
          </w:p>
        </w:tc>
        <w:tc>
          <w:tcPr>
            <w:tcW w:w="275" w:type="dxa"/>
            <w:tcBorders/>
            <w:shd w:fill="FFFF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14</w:t>
            </w:r>
          </w:p>
        </w:tc>
      </w:tr>
      <w:tr>
        <w:trPr/>
        <w:tc>
          <w:tcPr>
            <w:tcW w:w="993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rPr>
                <w:t>PROPOSAL NO.3 ELECTION OF DIRECTORS</w:t>
              </w:r>
            </w:hyperlink>
          </w:p>
        </w:tc>
        <w:tc>
          <w:tcPr>
            <w:tcW w:w="275" w:type="dxa"/>
            <w:tcBorders/>
            <w:shd w:fill="CCEEFF" w:val="clear"/>
            <w:vAlign w:val="center"/>
          </w:tcPr>
          <w:p>
            <w:pPr>
              <w:pStyle w:val="TableContents"/>
              <w:bidi w:val="0"/>
              <w:spacing w:before="0" w:after="283"/>
              <w:ind w:left="0" w:right="0" w:hanging="180"/>
              <w:jc w:val="center"/>
              <w:rPr/>
            </w:pPr>
            <w:r>
              <w:rPr/>
              <w:t>15</w:t>
            </w:r>
          </w:p>
        </w:tc>
      </w:tr>
      <w:tr>
        <w:trPr/>
        <w:tc>
          <w:tcPr>
            <w:tcW w:w="993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rPr>
                <w:t>PROPOSAL NO. 4 RATIFICATION OF SELECTION OF INDEPENDENT REGISTERED PUBLIC ACCOUNTING FIRM</w:t>
              </w:r>
            </w:hyperlink>
          </w:p>
        </w:tc>
        <w:tc>
          <w:tcPr>
            <w:tcW w:w="275" w:type="dxa"/>
            <w:tcBorders/>
            <w:shd w:fill="FFFFFF" w:val="clear"/>
            <w:vAlign w:val="center"/>
          </w:tcPr>
          <w:p>
            <w:pPr>
              <w:pStyle w:val="TableContents"/>
              <w:bidi w:val="0"/>
              <w:spacing w:before="0" w:after="283"/>
              <w:ind w:left="0" w:right="0" w:hanging="180"/>
              <w:jc w:val="center"/>
              <w:rPr/>
            </w:pPr>
            <w:r>
              <w:rPr/>
              <w:t>16</w:t>
            </w:r>
          </w:p>
        </w:tc>
      </w:tr>
      <w:tr>
        <w:trPr/>
        <w:tc>
          <w:tcPr>
            <w:tcW w:w="993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rPr>
                <w:t>PROPOSAL NO. 5 THE ADJOURNMENT PROPOSAL</w:t>
              </w:r>
            </w:hyperlink>
          </w:p>
        </w:tc>
        <w:tc>
          <w:tcPr>
            <w:tcW w:w="275" w:type="dxa"/>
            <w:tcBorders/>
            <w:shd w:fill="CCEEFF" w:val="clear"/>
            <w:vAlign w:val="center"/>
          </w:tcPr>
          <w:p>
            <w:pPr>
              <w:pStyle w:val="TableContents"/>
              <w:bidi w:val="0"/>
              <w:spacing w:before="0" w:after="283"/>
              <w:ind w:left="0" w:right="0" w:hanging="180"/>
              <w:jc w:val="center"/>
              <w:rPr/>
            </w:pPr>
            <w:r>
              <w:rPr/>
              <w:t>18</w:t>
            </w:r>
          </w:p>
        </w:tc>
      </w:tr>
      <w:tr>
        <w:trPr/>
        <w:tc>
          <w:tcPr>
            <w:tcW w:w="993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rPr>
                <w:t>COMPARISON OF CORPORATE GOVERNANCE AND SHAREHOLDER RIGHTS</w:t>
              </w:r>
            </w:hyperlink>
          </w:p>
        </w:tc>
        <w:tc>
          <w:tcPr>
            <w:tcW w:w="275" w:type="dxa"/>
            <w:tcBorders/>
            <w:shd w:fill="FFFFFF" w:val="clear"/>
            <w:vAlign w:val="center"/>
          </w:tcPr>
          <w:p>
            <w:pPr>
              <w:pStyle w:val="TableContents"/>
              <w:bidi w:val="0"/>
              <w:spacing w:before="0" w:after="283"/>
              <w:ind w:left="0" w:right="0" w:hanging="180"/>
              <w:jc w:val="center"/>
              <w:rPr/>
            </w:pPr>
            <w:r>
              <w:rPr/>
              <w:t>19</w:t>
            </w:r>
          </w:p>
        </w:tc>
      </w:tr>
      <w:tr>
        <w:trPr/>
        <w:tc>
          <w:tcPr>
            <w:tcW w:w="993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rPr>
                <w:t>MANAGEMENT AND CORPORATE GOVERNANCE</w:t>
              </w:r>
            </w:hyperlink>
          </w:p>
        </w:tc>
        <w:tc>
          <w:tcPr>
            <w:tcW w:w="275" w:type="dxa"/>
            <w:tcBorders/>
            <w:shd w:fill="CCEEFF" w:val="clear"/>
            <w:vAlign w:val="center"/>
          </w:tcPr>
          <w:p>
            <w:pPr>
              <w:pStyle w:val="TableContents"/>
              <w:bidi w:val="0"/>
              <w:spacing w:before="0" w:after="283"/>
              <w:ind w:left="0" w:right="0" w:hanging="180"/>
              <w:jc w:val="center"/>
              <w:rPr/>
            </w:pPr>
            <w:r>
              <w:rPr/>
              <w:t>25</w:t>
            </w:r>
          </w:p>
        </w:tc>
      </w:tr>
      <w:tr>
        <w:trPr/>
        <w:tc>
          <w:tcPr>
            <w:tcW w:w="993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rPr>
                <w:t>EXECUTIVE COMPENSATION</w:t>
              </w:r>
            </w:hyperlink>
          </w:p>
        </w:tc>
        <w:tc>
          <w:tcPr>
            <w:tcW w:w="275" w:type="dxa"/>
            <w:tcBorders/>
            <w:shd w:fill="FFFFFF" w:val="clear"/>
            <w:vAlign w:val="center"/>
          </w:tcPr>
          <w:p>
            <w:pPr>
              <w:pStyle w:val="TableContents"/>
              <w:bidi w:val="0"/>
              <w:spacing w:before="0" w:after="283"/>
              <w:ind w:left="0" w:right="0" w:hanging="180"/>
              <w:jc w:val="center"/>
              <w:rPr/>
            </w:pPr>
            <w:r>
              <w:rPr/>
              <w:t>31</w:t>
            </w:r>
          </w:p>
        </w:tc>
      </w:tr>
      <w:tr>
        <w:trPr/>
        <w:tc>
          <w:tcPr>
            <w:tcW w:w="993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rPr>
                <w:t>EQUITY COMPENSATION PLAN INFORMATION</w:t>
              </w:r>
            </w:hyperlink>
          </w:p>
        </w:tc>
        <w:tc>
          <w:tcPr>
            <w:tcW w:w="275" w:type="dxa"/>
            <w:tcBorders/>
            <w:shd w:fill="CCEEFF" w:val="clear"/>
            <w:vAlign w:val="center"/>
          </w:tcPr>
          <w:p>
            <w:pPr>
              <w:pStyle w:val="TableContents"/>
              <w:bidi w:val="0"/>
              <w:spacing w:before="0" w:after="283"/>
              <w:ind w:left="0" w:right="0" w:hanging="180"/>
              <w:jc w:val="center"/>
              <w:rPr/>
            </w:pPr>
            <w:r>
              <w:rPr/>
              <w:t>34</w:t>
            </w:r>
          </w:p>
        </w:tc>
      </w:tr>
      <w:tr>
        <w:trPr/>
        <w:tc>
          <w:tcPr>
            <w:tcW w:w="993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rPr>
                <w:t>REPORT OF AUDIT COMMITTEE</w:t>
              </w:r>
            </w:hyperlink>
          </w:p>
        </w:tc>
        <w:tc>
          <w:tcPr>
            <w:tcW w:w="275" w:type="dxa"/>
            <w:tcBorders/>
            <w:shd w:fill="FFFFFF" w:val="clear"/>
            <w:vAlign w:val="center"/>
          </w:tcPr>
          <w:p>
            <w:pPr>
              <w:pStyle w:val="TableContents"/>
              <w:bidi w:val="0"/>
              <w:spacing w:before="0" w:after="283"/>
              <w:ind w:left="0" w:right="0" w:hanging="180"/>
              <w:jc w:val="center"/>
              <w:rPr/>
            </w:pPr>
            <w:r>
              <w:rPr/>
              <w:t>35</w:t>
            </w:r>
          </w:p>
        </w:tc>
      </w:tr>
      <w:tr>
        <w:trPr/>
        <w:tc>
          <w:tcPr>
            <w:tcW w:w="993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rPr>
                <w:t>SECURITY OWNERSHIP OF CERTAIN BENEFICIAL OWNERS AND MANAGEMENT</w:t>
              </w:r>
            </w:hyperlink>
          </w:p>
        </w:tc>
        <w:tc>
          <w:tcPr>
            <w:tcW w:w="275" w:type="dxa"/>
            <w:tcBorders/>
            <w:shd w:fill="CCEEFF" w:val="clear"/>
            <w:vAlign w:val="center"/>
          </w:tcPr>
          <w:p>
            <w:pPr>
              <w:pStyle w:val="TableContents"/>
              <w:bidi w:val="0"/>
              <w:spacing w:before="0" w:after="283"/>
              <w:ind w:left="0" w:right="0" w:hanging="180"/>
              <w:jc w:val="center"/>
              <w:rPr/>
            </w:pPr>
            <w:r>
              <w:rPr/>
              <w:t>36</w:t>
            </w:r>
          </w:p>
        </w:tc>
      </w:tr>
      <w:tr>
        <w:trPr/>
        <w:tc>
          <w:tcPr>
            <w:tcW w:w="993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rPr>
                <w:t>CERTAIN RELATIONSHIPS AND RELATED PERSON TRANSACTIONS</w:t>
              </w:r>
            </w:hyperlink>
          </w:p>
        </w:tc>
        <w:tc>
          <w:tcPr>
            <w:tcW w:w="275" w:type="dxa"/>
            <w:tcBorders/>
            <w:shd w:fill="FFFFFF" w:val="clear"/>
            <w:vAlign w:val="center"/>
          </w:tcPr>
          <w:p>
            <w:pPr>
              <w:pStyle w:val="TableContents"/>
              <w:bidi w:val="0"/>
              <w:spacing w:before="0" w:after="283"/>
              <w:ind w:left="0" w:right="0" w:hanging="180"/>
              <w:jc w:val="center"/>
              <w:rPr/>
            </w:pPr>
            <w:r>
              <w:rPr/>
              <w:t>37</w:t>
            </w:r>
          </w:p>
        </w:tc>
      </w:tr>
      <w:tr>
        <w:trPr/>
        <w:tc>
          <w:tcPr>
            <w:tcW w:w="993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rPr>
                <w:t>DESCRIPTION OF SECURITIES</w:t>
              </w:r>
            </w:hyperlink>
          </w:p>
        </w:tc>
        <w:tc>
          <w:tcPr>
            <w:tcW w:w="275" w:type="dxa"/>
            <w:tcBorders/>
            <w:shd w:fill="CCEEFF" w:val="clear"/>
            <w:vAlign w:val="center"/>
          </w:tcPr>
          <w:p>
            <w:pPr>
              <w:pStyle w:val="TableContents"/>
              <w:bidi w:val="0"/>
              <w:spacing w:before="0" w:after="283"/>
              <w:ind w:left="0" w:right="0" w:hanging="180"/>
              <w:jc w:val="center"/>
              <w:rPr/>
            </w:pPr>
            <w:r>
              <w:rPr/>
              <w:t>40</w:t>
            </w:r>
          </w:p>
        </w:tc>
      </w:tr>
      <w:tr>
        <w:trPr/>
        <w:tc>
          <w:tcPr>
            <w:tcW w:w="993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rPr>
                <w:t>MATERIAL U.S. FEDERAL INCOME TAX CONSIDERATIONS</w:t>
              </w:r>
            </w:hyperlink>
          </w:p>
        </w:tc>
        <w:tc>
          <w:tcPr>
            <w:tcW w:w="275" w:type="dxa"/>
            <w:tcBorders/>
            <w:shd w:fill="FFFFFF" w:val="clear"/>
            <w:vAlign w:val="center"/>
          </w:tcPr>
          <w:p>
            <w:pPr>
              <w:pStyle w:val="TableContents"/>
              <w:bidi w:val="0"/>
              <w:spacing w:before="0" w:after="283"/>
              <w:ind w:left="0" w:right="0" w:hanging="180"/>
              <w:jc w:val="center"/>
              <w:rPr/>
            </w:pPr>
            <w:r>
              <w:rPr/>
              <w:t>44</w:t>
            </w:r>
          </w:p>
        </w:tc>
      </w:tr>
      <w:tr>
        <w:trPr/>
        <w:tc>
          <w:tcPr>
            <w:tcW w:w="993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rPr>
                <w:t>APPRAISAL RIGHTS</w:t>
              </w:r>
            </w:hyperlink>
          </w:p>
        </w:tc>
        <w:tc>
          <w:tcPr>
            <w:tcW w:w="275" w:type="dxa"/>
            <w:tcBorders/>
            <w:shd w:fill="CCEEFF" w:val="clear"/>
            <w:vAlign w:val="center"/>
          </w:tcPr>
          <w:p>
            <w:pPr>
              <w:pStyle w:val="TableContents"/>
              <w:bidi w:val="0"/>
              <w:spacing w:before="0" w:after="283"/>
              <w:ind w:left="0" w:right="0" w:hanging="180"/>
              <w:jc w:val="center"/>
              <w:rPr/>
            </w:pPr>
            <w:r>
              <w:rPr/>
              <w:t>51</w:t>
            </w:r>
          </w:p>
        </w:tc>
      </w:tr>
      <w:tr>
        <w:trPr/>
        <w:tc>
          <w:tcPr>
            <w:tcW w:w="993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rPr>
                <w:t>STOCKHOLDER NOMINATIONS AND PROPOSALS OF ETOILES CAPITAL</w:t>
              </w:r>
            </w:hyperlink>
          </w:p>
        </w:tc>
        <w:tc>
          <w:tcPr>
            <w:tcW w:w="275" w:type="dxa"/>
            <w:tcBorders/>
            <w:shd w:fill="FFFFFF" w:val="clear"/>
            <w:vAlign w:val="center"/>
          </w:tcPr>
          <w:p>
            <w:pPr>
              <w:pStyle w:val="TableContents"/>
              <w:bidi w:val="0"/>
              <w:spacing w:before="0" w:after="283"/>
              <w:ind w:left="0" w:right="0" w:hanging="180"/>
              <w:jc w:val="center"/>
              <w:rPr/>
            </w:pPr>
            <w:r>
              <w:rPr/>
              <w:t>52</w:t>
            </w:r>
          </w:p>
        </w:tc>
      </w:tr>
      <w:tr>
        <w:trPr/>
        <w:tc>
          <w:tcPr>
            <w:tcW w:w="993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rPr>
                <w:t>STOCKHOLDER NOMINATIONS AND PROPOSALS OF ETOILES CAPITAL NEVADA</w:t>
              </w:r>
            </w:hyperlink>
          </w:p>
        </w:tc>
        <w:tc>
          <w:tcPr>
            <w:tcW w:w="275" w:type="dxa"/>
            <w:tcBorders/>
            <w:shd w:fill="CCEEFF" w:val="clear"/>
            <w:vAlign w:val="center"/>
          </w:tcPr>
          <w:p>
            <w:pPr>
              <w:pStyle w:val="TableContents"/>
              <w:bidi w:val="0"/>
              <w:spacing w:before="0" w:after="283"/>
              <w:ind w:left="0" w:right="0" w:hanging="180"/>
              <w:jc w:val="center"/>
              <w:rPr/>
            </w:pPr>
            <w:r>
              <w:rPr/>
              <w:t>53</w:t>
            </w:r>
          </w:p>
        </w:tc>
      </w:tr>
      <w:tr>
        <w:trPr/>
        <w:tc>
          <w:tcPr>
            <w:tcW w:w="9930"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rPr>
                <w:t>SHAREHOLDER COMMUNICATIONS</w:t>
              </w:r>
            </w:hyperlink>
          </w:p>
        </w:tc>
        <w:tc>
          <w:tcPr>
            <w:tcW w:w="275" w:type="dxa"/>
            <w:tcBorders/>
            <w:shd w:fill="FFFFFF" w:val="clear"/>
            <w:vAlign w:val="center"/>
          </w:tcPr>
          <w:p>
            <w:pPr>
              <w:pStyle w:val="TableContents"/>
              <w:bidi w:val="0"/>
              <w:spacing w:before="0" w:after="283"/>
              <w:ind w:left="0" w:right="0" w:hanging="180"/>
              <w:jc w:val="center"/>
              <w:rPr/>
            </w:pPr>
            <w:r>
              <w:rPr/>
              <w:t>56</w:t>
            </w:r>
          </w:p>
        </w:tc>
      </w:tr>
      <w:tr>
        <w:trPr/>
        <w:tc>
          <w:tcPr>
            <w:tcW w:w="993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rPr>
                <w:t>LEGAL MATTERS</w:t>
              </w:r>
            </w:hyperlink>
          </w:p>
        </w:tc>
        <w:tc>
          <w:tcPr>
            <w:tcW w:w="275" w:type="dxa"/>
            <w:tcBorders/>
            <w:shd w:fill="CCEEFF" w:val="clear"/>
            <w:vAlign w:val="center"/>
          </w:tcPr>
          <w:p>
            <w:pPr>
              <w:pStyle w:val="TableContents"/>
              <w:bidi w:val="0"/>
              <w:spacing w:before="0" w:after="283"/>
              <w:ind w:left="0" w:right="0" w:hanging="180"/>
              <w:jc w:val="center"/>
              <w:rPr/>
            </w:pPr>
            <w:r>
              <w:rPr/>
              <w:t>57</w:t>
            </w:r>
          </w:p>
        </w:tc>
      </w:tr>
      <w:tr>
        <w:trPr/>
        <w:tc>
          <w:tcPr>
            <w:tcW w:w="9930"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rPr>
                <w:t>EXPERTS</w:t>
              </w:r>
            </w:hyperlink>
          </w:p>
        </w:tc>
        <w:tc>
          <w:tcPr>
            <w:tcW w:w="275" w:type="dxa"/>
            <w:tcBorders/>
            <w:shd w:fill="FFFFFF" w:val="clear"/>
            <w:vAlign w:val="center"/>
          </w:tcPr>
          <w:p>
            <w:pPr>
              <w:pStyle w:val="TableContents"/>
              <w:bidi w:val="0"/>
              <w:spacing w:before="0" w:after="283"/>
              <w:ind w:left="0" w:right="0" w:hanging="180"/>
              <w:jc w:val="center"/>
              <w:rPr/>
            </w:pPr>
            <w:r>
              <w:rPr/>
              <w:t>57</w:t>
            </w:r>
          </w:p>
        </w:tc>
      </w:tr>
      <w:tr>
        <w:trPr/>
        <w:tc>
          <w:tcPr>
            <w:tcW w:w="9930"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rPr>
                <w:t>WHERE YOU CAN FIND MORE INFORMATION; INCORPORATION BY REFERENCE</w:t>
              </w:r>
            </w:hyperlink>
          </w:p>
        </w:tc>
        <w:tc>
          <w:tcPr>
            <w:tcW w:w="275" w:type="dxa"/>
            <w:tcBorders/>
            <w:shd w:fill="CCEEFF" w:val="clear"/>
            <w:vAlign w:val="center"/>
          </w:tcPr>
          <w:p>
            <w:pPr>
              <w:pStyle w:val="TableContents"/>
              <w:bidi w:val="0"/>
              <w:spacing w:before="0" w:after="283"/>
              <w:ind w:left="0" w:right="0" w:hanging="180"/>
              <w:jc w:val="center"/>
              <w:rPr/>
            </w:pPr>
            <w:r>
              <w:rPr/>
              <w:t>58</w:t>
            </w:r>
          </w:p>
        </w:tc>
      </w:tr>
      <w:tr>
        <w:trPr/>
        <w:tc>
          <w:tcPr>
            <w:tcW w:w="9930" w:type="dxa"/>
            <w:tcBorders/>
            <w:shd w:fill="FFFFFF" w:val="clear"/>
            <w:vAlign w:val="center"/>
          </w:tcPr>
          <w:p>
            <w:pPr>
              <w:pStyle w:val="TableContents"/>
              <w:bidi w:val="0"/>
              <w:spacing w:before="0" w:after="283"/>
              <w:jc w:val="left"/>
              <w:rPr/>
            </w:pPr>
            <w:hyperlink w:anchor="a_01">
              <w:r>
                <w:rPr>
                  <w:rStyle w:val="InternetLink"/>
                </w:rPr>
                <w:t>DELINQUENT SECTION 16(A) REPORTS</w:t>
              </w:r>
            </w:hyperlink>
          </w:p>
        </w:tc>
        <w:tc>
          <w:tcPr>
            <w:tcW w:w="275" w:type="dxa"/>
            <w:tcBorders/>
            <w:shd w:fill="FFFFFF" w:val="clear"/>
            <w:vAlign w:val="center"/>
          </w:tcPr>
          <w:p>
            <w:pPr>
              <w:pStyle w:val="TableContents"/>
              <w:bidi w:val="0"/>
              <w:spacing w:before="0" w:after="283"/>
              <w:ind w:left="0" w:right="0" w:hanging="180"/>
              <w:jc w:val="center"/>
              <w:rPr/>
            </w:pPr>
            <w:r>
              <w:rPr/>
              <w:t>59</w:t>
            </w:r>
          </w:p>
        </w:tc>
      </w:tr>
      <w:tr>
        <w:trPr/>
        <w:tc>
          <w:tcPr>
            <w:tcW w:w="993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rPr>
                <w:t>CODE OF CONDUCT AND ETHICS</w:t>
              </w:r>
            </w:hyperlink>
          </w:p>
        </w:tc>
        <w:tc>
          <w:tcPr>
            <w:tcW w:w="275" w:type="dxa"/>
            <w:tcBorders/>
            <w:shd w:fill="CCEEFF" w:val="clear"/>
            <w:vAlign w:val="center"/>
          </w:tcPr>
          <w:p>
            <w:pPr>
              <w:pStyle w:val="TableContents"/>
              <w:bidi w:val="0"/>
              <w:spacing w:before="0" w:after="283"/>
              <w:ind w:left="0" w:right="0" w:hanging="180"/>
              <w:jc w:val="center"/>
              <w:rPr/>
            </w:pPr>
            <w:r>
              <w:rPr/>
              <w:t>59</w:t>
            </w:r>
          </w:p>
        </w:tc>
      </w:tr>
      <w:tr>
        <w:trPr/>
        <w:tc>
          <w:tcPr>
            <w:tcW w:w="9930"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rPr>
                <w:t>OTHER MATTERS</w:t>
              </w:r>
            </w:hyperlink>
          </w:p>
        </w:tc>
        <w:tc>
          <w:tcPr>
            <w:tcW w:w="275" w:type="dxa"/>
            <w:tcBorders/>
            <w:shd w:fill="FFFFFF" w:val="clear"/>
            <w:vAlign w:val="center"/>
          </w:tcPr>
          <w:p>
            <w:pPr>
              <w:pStyle w:val="TableContents"/>
              <w:bidi w:val="0"/>
              <w:spacing w:before="0" w:after="283"/>
              <w:jc w:val="center"/>
              <w:rPr/>
            </w:pPr>
            <w:r>
              <w:rPr/>
              <w:t>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included in this proxy statement/prospectus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financial and operating results, including revenues, income, expenditures, cash balances and other financial items;</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growth, expansion and acquisition strategies, including our ability to meet our goals;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economic and political conditions;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subsidiaries’ services;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expansion of our subsidiaries’ client base;</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relationships with their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all necessary government certifications, approvals, and/or licenses to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to managing our growth effectively;</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ability to protect their intellectual property rights and secure the right to use other intellectual property that they deem to be essential or desirable to the conduct of their business;</w:t>
            </w:r>
          </w:p>
        </w:tc>
      </w:tr>
    </w:tbl>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dependence on our senior management and key employees;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develop our subsidiaries’ business;</w:t>
            </w:r>
          </w:p>
        </w:tc>
      </w:tr>
    </w:tbl>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industry and market performance;</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breaches with respect to computer systems;</w:t>
            </w:r>
          </w:p>
        </w:tc>
      </w:tr>
    </w:tbl>
    <w:p>
      <w:pPr>
        <w:pStyle w:val="TextBody"/>
        <w:bidi w:val="0"/>
        <w:spacing w:before="0" w:after="0"/>
        <w:ind w:left="0" w:right="0" w:hanging="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downturns and political and market conditions beyond our control;</w:t>
            </w:r>
          </w:p>
        </w:tc>
      </w:tr>
    </w:tbl>
    <w:p>
      <w:pPr>
        <w:pStyle w:val="TextBody"/>
        <w:bidi w:val="0"/>
        <w:spacing w:before="0" w:after="0"/>
        <w:ind w:left="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use of proceeds from this offering,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the required shareholder vote to adopt the domestication proposal (as defined below) at the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satisfaction of other conditions to the domestication;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take advantage of the potential strategic opportunities provided by, and realize the potential benefits of, the domestication;</w:t>
            </w:r>
          </w:p>
        </w:tc>
      </w:tr>
    </w:tbl>
    <w:p>
      <w:pPr>
        <w:pStyle w:val="TextBody"/>
        <w:bidi w:val="0"/>
        <w:spacing w:before="0" w:after="283"/>
        <w:jc w:val="left"/>
        <w:rPr/>
      </w:pPr>
      <w:r>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us following announcement of the domestication;</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Common Stock on the Nasdaq Capital Market following the domestication;</w:t>
            </w:r>
          </w:p>
        </w:tc>
      </w:tr>
    </w:tbl>
    <w:p>
      <w:pPr>
        <w:pStyle w:val="TextBody"/>
        <w:bidi w:val="0"/>
        <w:spacing w:before="0" w:after="283"/>
        <w:jc w:val="left"/>
        <w:rPr/>
      </w:pPr>
      <w:r>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rights as a shareholder will change as a result of the domestication;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domestication disrupts current plans and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shareholders may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anti-takeover provisions in our Proposed Organizational Documents (as defined below) and under Nevada law could make an acquisition of us more difficult and limit attempts by our shareholders to replace or remove our current management;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exclusive forum provision in the Proposed Bylaws could limit the ability of our stockholders to obtain a judicial forum they find favorable for disputes with us or our directors, officers or employees, may increase the costs of bringing a claim, and may discourage such claims;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the domestication qualifies as a reorganization under Section 368(a) of the Internal Revenue Code of 1986, as amended (the “Code”), a U.S. shareholder may still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treated as a passive foreign investment company (“PFIC”) which could result in adverse United States federal income tax consequences to U.S. investors;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expect to incur transaction costs in connection with the completion of the domestication and related transactions, some of which will be incurred whether or not the domestication is completed;</w:t>
            </w:r>
          </w:p>
        </w:tc>
      </w:tr>
    </w:tbl>
    <w:p>
      <w:pPr>
        <w:pStyle w:val="TextBody"/>
        <w:bidi w:val="0"/>
        <w:spacing w:before="0" w:after="283"/>
        <w:jc w:val="left"/>
        <w:rPr/>
      </w:pPr>
      <w:r>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uncertainties while the domestication is pending;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financial performance of Etoiles Capital Nevada following the domestication, including our anticipated growth rate and market opportunity; and</w:t>
            </w:r>
          </w:p>
        </w:tc>
      </w:tr>
    </w:tbl>
    <w:p>
      <w:pPr>
        <w:pStyle w:val="TextBody"/>
        <w:bidi w:val="0"/>
        <w:spacing w:before="0" w:after="283"/>
        <w:jc w:val="left"/>
        <w:rPr/>
      </w:pPr>
      <w:r>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choose to or need to defer the domestication, or we may abandon the domestication.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proxy statement/prospectus and the information incorporated by reference herein, particularly in the “Risk Factors” sections of this proxy statement/prospectus and of our Annual Report on Form 20-F for the year ended December 31, 2025, which is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proxy statement/prospectus and the information incorporated by reference herein completely and with the understanding that our actual future results may be materially different from what we expect. Any forward-looking statement speaks only as of the date of this proxy statement/prospectus.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IMPORTANT INFORMATION ABOUT THE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Etoiles Capital Group Co., Ltd, a Cayman Islands exempted company (“Etoiles Capital,” the “Company,” “we,” “us” or “our”) is soliciting your proxy to vote at the 2026 annual general meeting of shareholders (the “annual general meeting”) to be held physically at Unit 03-04, 25/F, Cosco Tower, 183 Queen’s Road Central, Sheung Wan, Hong Kong and virtually via live webcast at https://meeting.vstocktransfer.com/ETOILESOCTOBER26, on October 15, 2026, at 9:00 a.m., Eastern Time (October 15, 2026, at 9:00 p.m., local time) and any adjournments or postponements of the meeting. This proxy statement/prospectus, along with the accompanying Notice of 2026 Annual General Meeting of Shareholders, summarizes the purposes of the meeting and the information you need to know to vote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available to you on the Internet and have sent you this proxy statement/prospectus, the Notice of 2026 Annual General Meeting of Shareholders, the proxy card and a copy of our Annual Report on Form 20-F for the fiscal year ended December 31, 2025 because you owned Etoiles Capital’s Class A ordinary shares, par value US$0.0001 per share (the “Class A ordinary shares” or the “existing ordinary shares”) at the close of business on September 17, 2026 (the “record date”). We intend to commence distribution of proxy materials to shareholders on or about September 29,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Etoiles Capital proposing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approval of the change of Etoiles Capital’s jurisdiction of incorporation from the Cayman Islands to the State of Nevada by deregistering as an exempted company in the Cayman Islands and continuing and domesticating as a corporation incorporated under the laws of the State of Nevada (the “domestication” and such proposal, the “domestication proposal”),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 Our Board believes that there are significant advantages to the domestication that will arise as a result of a change of domicile to Nevada and that any direct benefit that Nevada law provides to a corporation also indirectly benefits the shareholders, who are the owners of the corporation. Specifically, our Board believes that there are several reasons why a domestication from the Cayman Islands to Nevada is in the best interests of the Company and its shareholders, including, (i) the prominence, predictability and flexibility of Nevada law, (ii) Nevada’s well-established principles of corporate governance, (iii) the increased ability for Nevada corporations to attract and retain qualified directors, (iv) benefiting from well-established principles of corporate governance under Nevada law, which are more closely aligned with the Nasdaq listing standards and the SEC governance requirements, and (v) the mitigation of certain tax inefficiencies that would result if Etoiles Capital are to conduct a U.S. operating business as a foreign corporation, each of foregoing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domestication, upon approval of the domestication proposal and the new charter proposal (as defined below), Etoiles Capital will file an application for continuation and deregistration with the Cayman Islands Registrar of Companies, together with the necessary accompanying documents and fees, and will file the Proposed Charter (as defined below) and the certificate of corporate domestication (the “Certificate of Corporate Domestication”), a copy of which is attached to the proxy statement/prospectus as Annex D, with the Secretary of State of the State of Nevada, pursuant to which Etoiles Capital will be domesticated and continue as a Nevada corporation (the post-domestication company,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domestication proposal requires a special resolution under the Companies Act (As Revised) of the Cayman Islands (the “Cayman Islands Companies Act”) and the Company’s second amended and restated memorandum and articles, being the affirmative vote of the holders of at least two-thirds of the votes cast by the Class A ordinary shares,, represented in person or by proxy, entitled to vote at the annual general meeting and who vote at the annual general meeting. Abstentions and broker non-votes, while considered present for the purposes of establishing a quorum, will not count as a vote cast at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amendments will be made to the Existing Organizational Documents of Etoiles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proposed new articles of incorporation and an addendum to the proposed new articles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the Existing Organizational Documents will be altered and replaced in full with the Proposed Charter and the proposed new bylaws of Etoiles Capital Nevada, a copy of which is attached to the proxy statement/prospectus as Annex C (the “Proposed Bylaws” and, together with the Proposed Charter, the “Proposed Organizational Documents”) in full. The Proposed Organizational Documents will become the organizational documents of Etoiles Capital Nevada at the effective time of the domestication, in each case, under the Nevada Revised Statutes of the State of Nevada (the “NRS”). The approvals of both the domestication proposal and the new charter proposal are required to effect the domestication. Each of the domestication proposal and the new charter proposal is conditioned upon the approval of the other proposal to effect the domestication. The Proposed Charter and the Proposed Organizational Documents do not alter the Nevada statutory requirements for amendment of charter documents.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domestication affect the ordinary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appraisal rights in connection with the proposed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U.S. federal income tax consequences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more fully under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herein, we intend for the domestication to qualify as a reorganization within the meaning of Section 368(a) of the Code (a “Reorganization”). However, U.S. federal income tax rules regarding Reorganizations are complex and there is no assurance that the domestication will qualify as a Reorganization. If the domestication so qualifies, subject to the “passive foreign investment company” (“PFIC”) rules discussed below and under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 U.S. Holders (as defined in “</w:t>
      </w:r>
      <w:r>
        <w:rPr>
          <w:rFonts w:ascii="Times New Roman;Times;Serif" w:hAnsi="Times New Roman;Times;Serif"/>
          <w:b w:val="false"/>
          <w:i/>
          <w:caps w:val="false"/>
          <w:smallCaps w:val="false"/>
          <w:sz w:val="20"/>
        </w:rPr>
        <w:t>Material U.S. Federal Income Tax Considerations—U.S. Holders</w:t>
      </w:r>
      <w:r>
        <w:rPr>
          <w:rFonts w:ascii="Times New Roman;Times;Serif" w:hAnsi="Times New Roman;Times;Serif"/>
          <w:b w:val="false"/>
          <w:i w:val="false"/>
          <w:caps w:val="false"/>
          <w:smallCaps w:val="false"/>
          <w:sz w:val="20"/>
        </w:rPr>
        <w:t>”) generally will be subject to Section 367(b) of the Code and, as a result:</w:t>
      </w:r>
    </w:p>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 beneficially owns (directly, indirectly or constructively) 10% or more of the total combined voting power of all classes of Etoiles Capital stock entitled to vote or 10% or more of the total value of all classes of Etoiles Capital stock (a “10% U.S. Shareholder”) on the date of the domestication must include in income as a dividend deemed paid by Etoiles Capital the “all earnings and profits amount” attributable to the existing ordinary shares it directly owns within the meaning of Treasury Regulations under Section 367 of the Code;</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$50,000 or more and who, on the date of the domestication, is not a 10% U.S. Shareholder will recognize gain (but not loss) with respect to its Class A ordinary shares in the domestication or, in the alternative, may elect to recognize the “all earnings and profits” amount attributable to such U.S. Holder’s Class A ordinary shares; and</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w:t>
            </w:r>
          </w:p>
        </w:tc>
      </w:tr>
    </w:tbl>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if the domestication qualifies as a Reorganization, a U.S. Holder of Class A ordinary shares may, in certain circumstances, still recognize gain (but not loss) upon the deemed exchange of Class A ordinary shares for shares of Etoiles Capital Nevada Common Stock pursuant to the domestication under the PFIC rules of the Code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Class A ordinary shares for shares of Etoiles Capital Nevada Common Stock generally will recognize gain or loss equal to the difference between (i) the sum of the fair market value of the Common Stock received and (ii) the U.S. Holder’s adjusted tax basis in the Class A ordinary shares exchanged.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below) to become subject to U.S. federal income withholding taxes on any dividends in respect of such non-U.S. Holder’s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domestication are complex and will depend on a holder’s particular circumstances. All holders are strongly urged to consult their tax advisor for a full understanding of the tax consequences of the domestication, including the applicability and effect of U.S. federal, state, local and foreign income and other tax laws. For a more complete discussion of certain U.S. federal income tax considerations of the domestication, see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annual general meeting virtually?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audio webcast of the annual general meeting will begin promptly on October 15 ,2026 at 9:00 a.m., Eastern Time (October 15, 2026, at 9:00 p.m., local time). Online access to the audio webcast will open 15 minutes prior to the start of the annual general meeting to allow time for you to log-in and test your device’s audio system. The annual general meeting is running the most updated version of the applicable software and plugins. You should ensure you have a strong Internet connection wherever you intend to participate virtually in the annual general meeting. You should also allow plenty of time to log in and ensure that you can hear streaming audio prior to the start of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Log-in Instructions</w:t>
      </w:r>
      <w:r>
        <w:rPr>
          <w:rFonts w:ascii="Times New Roman;Times;Serif" w:hAnsi="Times New Roman;Times;Serif"/>
          <w:b w:val="false"/>
          <w:i w:val="false"/>
          <w:caps w:val="false"/>
          <w:smallCaps w:val="false"/>
          <w:sz w:val="20"/>
        </w:rPr>
        <w:t>. To be admitted to the annual general meeting virtually, you will need to log-in at https://meeting.vstocktransfer.com/ETOILESOCTOBER26.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attend the annual general meeting virtually, will I be able to ask questions and have these questions answered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choose to attend the annual general meeting virtually may submit questions for the annual general meeting after logging in. If such shareholders wish to submit a question, they shareholders are required to register in advance of the AGM, by emailing to ir@etoilesfin.com.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questions related to the business of the annual general meeting (the proposals being voted on) will be answered during the annual general meeting, subject to time constraints. Additional information regarding the ability of shareholders to ask questions during the annual general meeting, related to rules of conduct and other materials for the annual general meeting will be available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there are technical difficulties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annual general meeting during the check-in or meeting time, please call the technical support number that will be posted on the meeting log-in page for assistance. Technical support will be available beginning approximately 15 minutes prior to the start of the annual general meeting through its conclusion. Additional information regarding matters addressing technical and logistical issues, including technical support during the annual general meeting, will be available on the meeting website.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Class A ordinary shares or Class B ordinary shares at the close of business on September 17, 2026 will be entitled to vote at the annual general meeting. On this record date, there were 15,110,000 Class A ordinary shares and 0 Class B ordinary shares outstanding and entitled to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September 17, 2026 your ordinary shares were registered directly in your name with our transfer agent, VStock Transfer, LLC, then you are a shareholder of record.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September 17, 2026 your ordinary shares were held, not in your name, but rather in an account at a brokerage firm, bank, dealer or other similar organization, then you are the beneficial owner of shares held in “street name” and the Notice of 2026 Annual General Meeting of Shareholders is being forwarded to you by that organization. The organization holding your account is considered to be the shareholder of record for purposes of voting at the annual general meeting. As a beneficial owner, you have the right to direct your broker or other agent regarding how to vote the shares in your account. You are also invited to attend the annual general meeting. However, since you are not the shareholder of record, you may not vote your shares at the annual general meeting unless you request and obtain a valid proxy from your broker or other agent.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general meeting to vote your shares. Shares represented by valid proxies, received in time for the annual general meeting and not revoked prior to the annual general meeting, will be voted at the annual general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that you own entitles you to one vote or Class B ordinary share that you own entitles you to ten (10) votes.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general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Board’s recommendations as noted below. Voting by proxy will not affect your right to attend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or you have share certificates registered in your name, you may vote: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Internet or by telephone.</w:t>
            </w:r>
            <w:r>
              <w:rPr>
                <w:rFonts w:ascii="Times New Roman;Times;Serif" w:hAnsi="Times New Roman;Times;Serif"/>
                <w:sz w:val="20"/>
              </w:rPr>
              <w:t> Follow the instructions included in the proxy card to vote over the Internet or by telephone.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You can also vote by mail by completing, signing, dating and returning the proxy card as instructed on the card. If you sign the proxy card but do not specify how you want your shares voted, they will be voted in accordance with the Board’s recommendations as noted below.</w:t>
            </w:r>
          </w:p>
        </w:tc>
      </w:tr>
    </w:tbl>
    <w:p>
      <w:pPr>
        <w:pStyle w:val="TextBody"/>
        <w:bidi w:val="0"/>
        <w:spacing w:before="0" w:after="283"/>
        <w:jc w:val="left"/>
        <w:rPr/>
      </w:pPr>
      <w:r>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Internet voting facilities for shareholders of record will be available 24 hours a day and will close at 11:59 p.m. Eastern Time on October 14,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the instructions to vote during the annual general meeting are to follow the link under the “Resources” button present on your device during the annual general meeting; the Control Number on your VStock voting document is required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shareholders owning shares through certain banks and brokers. If your shares are not registered in your own name and you plan to vote your shares in person at the annual general meeting, you should contact your broker or agent to obtain a “legal proxy,” and send that document as well as a completed voting document indicating your vote to “vote@vstocktransfer.com” prior to the Meeting in order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shareholders will be asked to vote:</w:t>
      </w:r>
    </w:p>
    <w:p>
      <w:pPr>
        <w:pStyle w:val="TextBody"/>
        <w:shd w:fill="FFFFFF" w:val="clear"/>
        <w:bidi w:val="0"/>
        <w:spacing w:before="0" w:after="0"/>
        <w:ind w:left="360" w:right="0" w:hanging="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domestication proposal;</w:t>
            </w:r>
          </w:p>
        </w:tc>
      </w:tr>
    </w:tbl>
    <w:p>
      <w:pPr>
        <w:pStyle w:val="TextBody"/>
        <w:bidi w:val="0"/>
        <w:spacing w:before="0" w:after="0"/>
        <w:ind w:left="36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0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new charter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r>
              <w:rPr>
                <w:rFonts w:ascii="Times New Roman;Times;Serif" w:hAnsi="Times New Roman;Times;Serif"/>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 (the “election of directors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the appointment of SRCO, C.P.A., Professional Corporation as our independent registered public accounting firm for the fiscal year ending December 31, 2026 (the “appointment of independent registered public accounting firm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(the “adjournment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6</w:t>
            </w:r>
            <w:r>
              <w:rPr>
                <w:rFonts w:ascii="Times New Roman;Times;Serif" w:hAnsi="Times New Roman;Times;Serif"/>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as follows: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domestication proposal;</w:t>
            </w:r>
          </w:p>
        </w:tc>
      </w:tr>
    </w:tbl>
    <w:p>
      <w:pPr>
        <w:pStyle w:val="TextBody"/>
        <w:bidi w:val="0"/>
        <w:spacing w:before="0" w:after="283"/>
        <w:jc w:val="left"/>
        <w:rPr/>
      </w:pPr>
      <w:r>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new charter proposal;</w:t>
            </w:r>
          </w:p>
        </w:tc>
      </w:tr>
    </w:tbl>
    <w:p>
      <w:pPr>
        <w:pStyle w:val="TextBody"/>
        <w:bidi w:val="0"/>
        <w:spacing w:before="0" w:after="283"/>
        <w:jc w:val="left"/>
        <w:rPr/>
      </w:pPr>
      <w:r>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election of each of the nominees for director;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ratification of the appointment of SRCO, C.P.A., Professional Corporation as our independent registered public accounting firm for our fiscal year ending December 31, 2026; and</w:t>
            </w:r>
          </w:p>
        </w:tc>
      </w:tr>
    </w:tbl>
    <w:p>
      <w:pPr>
        <w:pStyle w:val="TextBody"/>
        <w:bidi w:val="0"/>
        <w:spacing w:before="0" w:after="283"/>
        <w:jc w:val="left"/>
        <w:rPr/>
      </w:pPr>
      <w:r>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adjournment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presented at the annual general meeting, your proxy provides that your shares will be voted by the proxy holder listed in the proxy in accordance with the proxy holder’s best judgment. At the time this proxy statement/prospectus was first made available, we knew of no matters that needed to be acted on at the annual general meeting, other than those discussed in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give us your proxy, you may change or revoke it at any time before the annual general meeting. You may change or revoke your proxy in any one of the following ways: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received a proxy card, by signing a new proxy card with a date later than your previously delivered proxy and submitting it as instructed above;</w:t>
            </w:r>
          </w:p>
        </w:tc>
      </w:tr>
    </w:tbl>
    <w:p>
      <w:pPr>
        <w:pStyle w:val="TextBody"/>
        <w:bidi w:val="0"/>
        <w:spacing w:before="0" w:after="283"/>
        <w:jc w:val="left"/>
        <w:rPr/>
      </w:pPr>
      <w:r>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re-voting by Internet or by telephone as instructed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notifying Etoiles Capital Group Co., Ltd’s chief financial officer in writing before the annual general meeting that you have revoked your proxy;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attending the annual general meeting and voting at the meeting. Attending the annual general meeting will not in and of itself revoke a previously submitted proxy. You must specifically request at the annual general meeting that it be revoked.</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proxy card?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proxy card if you hold our Class A ordinary shares in more than one account, which may be in registered form or held in street name.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ix</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share certificates, they will not be counted if you do not vote as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independent registered public accounting firm proposal without receiving instructions from you. Therefore, we encourage you to provide voting instructions to your bank, broker or other nominee. This ensures your shares will be voted at the annual general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Abstentions and broker non-votes, while considered present for the purposes of establishing a quorum, will not count as votes cast and will have no effect on the outcome of the vote on any of the proposals. If a shareholder does not give the broker voting instructions, under applicable self-regulatory organization rules, its broker may not vote its shares on “non-routine” proposals, such as the domestication proposal, new charter proposal, the election of directors proposal and the adjournment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3"/>
        <w:gridCol w:w="140"/>
        <w:gridCol w:w="9032"/>
      </w:tblGrid>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Domestication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domestication proposal.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03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New Charter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new charter proposal.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x</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2"/>
        <w:gridCol w:w="140"/>
        <w:gridCol w:w="8653"/>
      </w:tblGrid>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Election of Directors</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 If the number of shares voted “FOR” a director nominee exceeds the number of votes cast “AGAINST,” the nominee will be elected as a director. You may vote “FOR,” “AGAINST” or “ABSTAIN” on each of the nominees for election as director. Brokerage firms do not have authority to vote customers’ unvoted shares held by the firms in street name for the election of the directors.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Appointment of Independent Registered Public Accounting Firm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ordinary resolution, being a resolution passed by the holders of not less than a simple majority of the votes cast by the Class A ordinary shares, represented in person or by proxy and entitled to vote thereon and who vote at the annual general meeting for this proposal is required to ratify the selection of our independent registered public accounting firm. If the number of shares voted “FOR” the ratification of the appointment of SRCO, C.P.A., Professional Corporation as our independent registered public accounting firm exceeds the number of votes cast “AGAINST,” the appointment of SRCO, C.P.A., Professional Corporation as our independent registered public accounting firm will be ratified. You may vote “FOR,” “AGAINST” or “ABSTAIN.” Abstentions will have no effect on the results of this vote. Brokerage firms have authority to vote customers’ unvoted shares held by the firms in street name on this proposal. Accordingly, there will be no broker non-votes with respect to this proposal. We are not required to obtain the approval of our shareholders to select our independent registered public accounting firm. However, if our shareholders do not ratify the appointment of SRCO, C.P.A., Professional Corporation as our independent registered public accounting firm for 2026, our Audit Committee of the Board (the “Audit Committee”) will reconsider its selection.</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Adjournment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the affirmative vote of the holders of a majority of the votes cast by the Class A ordinary shares, represented in person or by proxy and entitled to vote at the annual general meeting and who vote at the annual general meeting. The adjournment proposal is not conditioned upon any other proposal. You may vote “FOR,” “AGAINST” or “ABSTAIN” on the adjournment proposal. Brokerage firms do not have authority to vote customers’ unvoted shares held by the firms in street name for the adjournment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general meeting, and we will publish preliminary, or final results if available, in a Current Report on Form 6-K within four business days of the annual general meeting. If final results are unavailable at the time we file the Form 6-K, then we will file an amended report on Form 6-K to disclose the final voting results within four business days after the final voting results are known.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xi</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one or more shareholders holding shares that represent not less than one-third of the outstanding ordinary shares carrying the right to vote at the annual general meeting is necessary to constitute a quorum at the annual general meeting. Votes of shareholders of record who are present at the annual general meeting in person or by proxy, abstentions, and broker non-votes are counted for purposes of determining whether a quorum exists.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offer two options for our 2026 annual general meeting: (1) viewing a live Webcast at https://meeting.vstocktransfer.com/ETOILESOCTOBER26 or (2) attending in person. The annual general meeting will be held at 9:00 a.m., Eastern Time (October 15, 2026, at 9:00 p.m., local time) on October 15, 2026 at Unit 03-04, 25/F, Cosco Tower, 183 Queen’s Road Central, Sheung Wan, Hong Kong.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brokers or other nominee record holders may be sending you a single set of our proxy materials if multiple Etoiles Capital’s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promptly deliver a separate copy of our proxy materials to you if you write or call our corporate secretary at: Unit 03-04, 25/F, Cosco Tower, 183 Queen’s Road Central, Sheung Wan, Hong Kong or contact by telephone number at +852 2398-8699.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Company Shareholder Communications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shareholders can elect to view or receive copies of future proxy materials over the Internet instead of receiving paper copies in the mail.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choose this option and save us the cost of producing and mailing these documents by:</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on your proxy card; or</w:t>
            </w:r>
          </w:p>
        </w:tc>
      </w:tr>
    </w:tbl>
    <w:p>
      <w:pPr>
        <w:pStyle w:val="TextBody"/>
        <w:bidi w:val="0"/>
        <w:spacing w:before="0" w:after="283"/>
        <w:jc w:val="left"/>
        <w:rPr/>
      </w:pPr>
      <w:r>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when you vote over the Internet.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xii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SUMMARY OF THE PROXY STATEMENT/PROSPECTUS</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proxy statement/prospectus and does not contain all of the information that is important to you. To better understand the proposals to be submitted for a vote at the annual general meeting, including the domestication, you should read this entire document carefully. This proxy statement/prospectus also includes forward-looking statements that involve risks and uncertainties. See “Special Note Regarding Forward-Looking Statements.”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integrated investor relation services mainly comprise one of more of the following components:</w:t>
      </w:r>
    </w:p>
    <w:p>
      <w:pPr>
        <w:pStyle w:val="TextBody"/>
        <w:shd w:fill="FFFFFF" w:val="clear"/>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6" w:type="dxa"/>
            <w:tcBorders/>
            <w:vAlign w:val="center"/>
          </w:tcPr>
          <w:p>
            <w:pPr>
              <w:pStyle w:val="TableContents"/>
              <w:bidi w:val="0"/>
              <w:spacing w:before="0" w:after="283"/>
              <w:jc w:val="both"/>
              <w:rPr/>
            </w:pPr>
            <w:r>
              <w:rPr>
                <w:rFonts w:ascii="Times New Roman;Times;Serif" w:hAnsi="Times New Roman;Times;Serif"/>
                <w:sz w:val="20"/>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r>
              <w:rPr/>
              <w:t xml:space="preserve">    </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9828" w:type="dxa"/>
        <w:jc w:val="left"/>
        <w:tblInd w:w="0" w:type="dxa"/>
        <w:tblLayout w:type="fixed"/>
        <w:tblCellMar>
          <w:top w:w="0" w:type="dxa"/>
          <w:left w:w="0" w:type="dxa"/>
          <w:bottom w:w="0" w:type="dxa"/>
          <w:right w:w="0" w:type="dxa"/>
        </w:tblCellMar>
      </w:tblPr>
      <w:tblGrid>
        <w:gridCol w:w="38"/>
        <w:gridCol w:w="35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value-added services such as website design enhancement and promotional video production.</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through our Hong Kong Operating Subsidiary, have achieved significant growth in our business. For each of the fiscal years ended December 31, 2025, 2024 and 2023, our total revenue was approximately US$3.2 million, US$2.5 million and US$0.1 million, respectively. The number of clients with revenue contribution to us was 1 for the fiscal year ended December 31, 2023, 22 for the fiscal year ended December 31, 2024 and 18 for the fiscal year ended December 31, 2025.</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principal executive office of Etoiles Capital is located at Unit 03-04, 25/F, Cosco Tower, 183 Queen’s Road Central, Sheung Wan, Hong Kong, and Etoiles Capital’s telephone number is +852 2398-8699. Additional information about Etoiles Capital and its subsidiaries is included in documents incorporated by reference into this proxy statement/prospectus. See “</w:t>
      </w:r>
      <w:r>
        <w:rPr>
          <w:rFonts w:ascii="Times New Roman;Times;Serif" w:hAnsi="Times New Roman;Times;Serif"/>
          <w:b w:val="false"/>
          <w:i/>
          <w:caps w:val="false"/>
          <w:smallCaps w:val="false"/>
          <w:sz w:val="20"/>
          <w:bdr w:val="single" w:sz="12" w:space="5" w:color="000000"/>
        </w:rPr>
        <w:t>Where You Can Find More Information and Incorporation by Reference</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Proposals to be put to the Annual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domestication proposal. The Board has unanimously approved a change of Etoiles Capital’s jurisdiction of incorporation from the Cayman Islands to the State of Nevada by deregistering as an exempted company in the Cayman Islands and continuing and domesticating as a corporation incorporated under the laws of the State of Nevada. To effect the domestication, upon approval of the domestication proposal and the new charter proposal, Etoiles Capital will file an application of deregistration with the Cayman Islands Registrar of Companies, together with the necessary accompanying documents and fees, and will file the Proposed Charter and a Certificate of Corporate Domestication with the Secretary of State of the State of Nevada, pursuant to which Etoiles Capital will be domesticated and continue as a Nevada corporation.</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September 17, 2026, there are 15,110,000 ordinary shares outstanding, comprised of 15,110,000 Class A ordinary shares and 0 Class B ordinary shares.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proposal together with the new charter proposal, if approved, will approve a change of Etoiles Capital’s jurisdiction of incorporation from the Cayman Islands to the State of Nevada. Accordingly, while Etoiles Capital is currently governed by the Cayman Islands Companies Act, upon domestication, Etoiles Capital Nevada will be governed by the NRS. Accordingly, we urge shareholders to carefully consult the information set out below under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 Additionally, we note that in connection with the domestication proposal, Etoiles Capital is requesting its shareholders to approve the new charter proposal (discussed below) (with the approval of the domestication proposal being conditioned upon the new charter proposal also being approved). </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urge shareholders to carefully consult the Proposed Organizational Documents of Etoiles Capital Nevada, attached hereto as Annexes B and C. For additional information, see “</w:t>
      </w:r>
      <w:r>
        <w:rPr>
          <w:rFonts w:ascii="Times New Roman;Times;Serif" w:hAnsi="Times New Roman;Times;Serif"/>
          <w:b w:val="false"/>
          <w:i/>
          <w:caps w:val="false"/>
          <w:smallCaps w:val="false"/>
          <w:sz w:val="20"/>
          <w:bdr w:val="single" w:sz="12" w:space="5" w:color="000000"/>
        </w:rPr>
        <w:t>Proposal No.1 The Domestication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New Charter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new charter proposal, in connection with and conditioned on the domestication proposal. If the domestication proposal is approved and the new charter proposal is approved, Etoiles Capital will domesticate to the State of Nevada and in connection therewith alter its Existing Organizational Documents under the Cayman Islands Companies Act by replacing in full with the Proposed Organizational Documents of Etoiles Capital Nevada, in each case, under the NRS.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Proposed Organizational Documents differ in certain material respects from the Existing Organizational Documents, and we urge shareholders to carefully consult the full text of the Proposed Charter and the addendum to the Proposed Charter of Etoiles Capital Nevada, attached hereto as Annex B1 and Annex B2, respectively. Approvals of both the domestication proposal and the new charter proposal are required to effect the domestication, and the approval of the new charter proposal is conditioned upon the domestication proposal also being approved. If the domestication is not effected, then there will be no changes to the Existing Organizational Documents.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Election of Directors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asked to elect the following four director nominees named in this proxy statement/prospectus to serve as directors for three-year terms expiring at the annual meeting in 2029 and until their successors are duly elected and qualified: Kit Shing, CHEUNG, Wesley CHU, Yeung Tak, CHEN and Nancy YANG. For additional information, see “</w:t>
      </w:r>
      <w:r>
        <w:rPr>
          <w:rFonts w:ascii="Times New Roman;Times;Serif" w:hAnsi="Times New Roman;Times;Serif"/>
          <w:b w:val="false"/>
          <w:i/>
          <w:caps w:val="false"/>
          <w:smallCaps w:val="false"/>
          <w:sz w:val="20"/>
          <w:bdr w:val="single" w:sz="12" w:space="5" w:color="000000"/>
        </w:rPr>
        <w:t>Election of Directors</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Appointment of Independent Registered Public Accounting Firm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also asked to approve, by ordinary resolution, a proposal to ratify the appointment of Ernst and Young as the Company’s independent registered public accounting firm for the Company’s fiscal year ending December 31, 2026. For additional information, see “</w:t>
      </w:r>
      <w:r>
        <w:rPr>
          <w:rFonts w:ascii="Times New Roman;Times;Serif" w:hAnsi="Times New Roman;Times;Serif"/>
          <w:b w:val="false"/>
          <w:i/>
          <w:caps w:val="false"/>
          <w:smallCaps w:val="false"/>
          <w:sz w:val="20"/>
          <w:bdr w:val="single" w:sz="12" w:space="5" w:color="000000"/>
        </w:rPr>
        <w:t>Proposal No. 5 Ratification of Selection of Independent Registered Public Accounting Firm</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Adjournment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based on the tabulated vote, there are not sufficient votes at the time of the annual general meeting to approve the preceding proposals, the Board may submit a proposal to adjourn the annual general meeting to a later date or dates, if necessary, to permit further solicitation of proxies. For additional information, see “</w:t>
      </w:r>
      <w:r>
        <w:rPr>
          <w:rFonts w:ascii="Times New Roman;Times;Serif" w:hAnsi="Times New Roman;Times;Serif"/>
          <w:b w:val="false"/>
          <w:i/>
          <w:caps w:val="false"/>
          <w:smallCaps w:val="false"/>
          <w:sz w:val="20"/>
          <w:bdr w:val="single" w:sz="12" w:space="5" w:color="000000"/>
        </w:rPr>
        <w:t>Proposal No. 6 The Adjournment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Date, Time and Place of Annual Meeting of Etoiles Capital’s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annual general meeting will be held on October 15, 2026 at 9:00 a.m., Eastern Time (October 15, 2026, at 9:00 p.m., local time), physically at Unit 03-04, 25/F, Cosco Tower, 183 Queen’s Road Central, Sheung Wan, Hong Kong and virtually via live webcast at https://meeting.vstocktransfer.com/ETOILESOCTOBER26 or at such other time, on such other date and at such other place to which the meeting may be adjourned or postponed.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Voting Power; Record Date</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Shareholders will be entitled to vote or direct votes to be cast at the annual general meeting if they owned ordinary shares at the close of business on September 17, 2026, which is the record date for the annual general meeting. Shareholders will have one vote for each Class A ordinary share owned at the close of business on the record date. If your shares are held in “street name” or are in a margin or similar account, you should contact your broker to ensure that votes related to the shares you beneficially own are properly counted.</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Quorum and Vote of Etoiles Capital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quorum of Etoiles Capital shareholders is necessary to hold a valid meeting. A quorum will be present at the annual general meeting if one or more shareholders holding shares that represent not less than one-third of the outstanding ordinary shares carrying the right to vote are present in person or by proxy. Abstentions and broker non-votes, while considered present for the purposes of establishing a quorum, will not count as a vote cast at the annual general meeting. As of the record date for the annual general meeting, 5,036,667 ordinary shares would be required to achieve a quorum.</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proposals presented at the annual general meeting require the following votes: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Domestication proposal: The approval of the domestication proposal requires a special resolution under the Cayman Islands Companies Act and the Existing Organizational Documents,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charter proposal: The approval of the new charter proposal requires a special resolution under the Cayman Islands Companies Act,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Election of Directors: Election of each Director requires an ordinary resolution under the Cayman Islands Companies Act, being the affirmative vote for each director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Appointment of independent registered public accounting firm proposal: The approval of the appointment of independent registered public accounting firm proposal requires an ordinary resolution under the Cayman Islands Companies Act, being the affirmative vote for the proposal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Adjournment proposal: The approval of the adjournment proposal requires an ordinary resolution under the Cayman Islands Companies Act, being the affirmative vote for the proposal by the holders of a majority of the votes cast by the Class A ordinary shares, represented in person or by proxy and entitled to vote thereon and who vote at the annual general meeting.</w:t>
            </w:r>
          </w:p>
        </w:tc>
      </w:tr>
    </w:tbl>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Abstentions and broker non-votes, while considered present for the purposes of establishing a quorum, will not count as a vote cast at the annual general meeting.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Appraisal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Proxy Solicitation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Proxies may be solicited by mail, telephone or in person. If a shareholder grants a proxy, it may still vote its shares in person if it revokes its proxy before the annual general meeting. A shareholder also may change its vote by submitting a later-dated proxy as described in the section entitled “</w:t>
      </w:r>
      <w:r>
        <w:rPr>
          <w:rFonts w:ascii="Times New Roman;Times;Serif" w:hAnsi="Times New Roman;Times;Serif"/>
          <w:b w:val="false"/>
          <w:i/>
          <w:caps w:val="false"/>
          <w:smallCaps w:val="false"/>
          <w:sz w:val="20"/>
          <w:bdr w:val="single" w:sz="12" w:space="5" w:color="000000"/>
        </w:rPr>
        <w:t>Important Information About the Annual Meeting, Voting and the Domestication Proposal—May I change or revoke my proxy</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Recommendation to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Each of (i) the full Board of Etoiles Capital and (ii) the directors of the Board who do not own Class B ordinary shares believe that the domestication proposal and the other proposals to be presented at the annual general meeting are in the best interest of the Company and unanimously recommend that its shareholders vote “FOR” the approval of the domestication proposal, “FOR” the approval of the new charter proposals, “FOR” the election of each director nominee, “FOR” the appointment of independent registered public accounting firm proposal and “FOR” the adjournment proposal, in each case, if presented to the annual general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Material U.S. Federal Income Tax Considerations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discussion summarizing the U.S. federal income tax considerations of the domestication, please see “</w:t>
      </w:r>
      <w:r>
        <w:rPr>
          <w:rFonts w:ascii="Times New Roman;Times;Serif" w:hAnsi="Times New Roman;Times;Serif"/>
          <w:b w:val="false"/>
          <w:i/>
          <w:caps w:val="false"/>
          <w:smallCaps w:val="false"/>
          <w:sz w:val="20"/>
          <w:bdr w:val="single" w:sz="12" w:space="5" w:color="000000"/>
        </w:rPr>
        <w:t>Material U.S. Federal Income Tax Considerations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Anticipated Accounting Treatment</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do not believe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Etoiles Capital immediately prior to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Comparison of Corporate Governance and Shareholder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will change Etoiles Capital’s jurisdiction of incorporation from the Cayman Islands to Nevada and, as a result, Etoiles Capital’s Existing Organizational Documents will be altered and replaced in full with the Proposed Organizational Documents, and Etoiles Capital Nevada will be governed by the NRS rather than Cayman Islands Companies Act. There are differences between Cayman Islands corporate law, which currently governs Etoiles Capital, and Nevada corporate law, which will govern Etoiles Capital Nevada following the effectiveness of the domestication. Additionally, there are differences between the Proposed Organization Documents of Etoiles Capital Nevada and the Existing Organizational Documents of Etoiles Capital. For a summary of the material differences among the rights of holders of common stock and holders of ordinary shares, see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Regulatory Matters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is not subject to any additional federal or state regulatory requirements or approvals, except for filings with the Cayman Islands and the State of Nevada necessary to effectuate the domestication.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evaluating the proposals to be presented at the annual general meeting, a shareholder should carefully read this proxy statement/prospectus and especially consider the factors discussed in the section entitled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Sources of Industry and Market Data</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Where information has been sourced from a third party, the source of such information has been identified.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Transfers of Cash To and From Our Subsidiaries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During the years ended December 31, 2025 and 2024 and up to the date of this prospectus, no transfers, dividends or distributions have been made by Etoiles Cayman, Zynergy BVI, Etoiles Consultancy and Etoiles Financial. Cash may be transferred through our organization in the following manner: (i) funds are transferred to our Hong Kong Operating Subsidiary and Etoiles Financial, from Etoiles Cayman through our BVI subsidiary in the form of capital contributions or shareholder loans, as the case may be; and (ii) dividends or other distributions may be paid by our Hong Kong Operating Subsidiary or Etoiles Financial to Etoiles Cayman through our BVI subsidiary. We intend to retain all available funds and future earnings, if any, for operation and business development, however, we may pay dividends on our Class A Ordinary Shares and Class B Ordinary Shares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Further, cash may be transmitted from our Hong Kong Operating Subsidiary and Etoiles Financial to Zynergy BVI and between our Hong Kong Operating Subsidiary and Etoiles Financial. For more details, see section captioned “Certain Relationships And Related Person Transactions” in this prospectus.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not prohibited under the laws of the Cayman Islands to provide funding to our Hong Kong Operating Subsidiary and Etoiles Financial through loans and/or capital contributions without restriction on the amount of the funds loaned or contributed.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Cayman Islands.    </w:t>
      </w:r>
      <w:r>
        <w:rPr>
          <w:rFonts w:ascii="Times New Roman;Times;Serif" w:hAnsi="Times New Roman;Times;Serif"/>
          <w:b w:val="false"/>
          <w:i w:val="false"/>
          <w:caps w:val="false"/>
          <w:smallCaps w:val="false"/>
          <w:sz w:val="20"/>
          <w:bdr w:val="single" w:sz="12" w:space="5" w:color="000000"/>
        </w:rPr>
        <w:t>Subject to Cayman law, the Companies Act and our Amended Memorandum and Articles, our board of directors may from time to time declare dividends in any currency to be paid to our members. Subject to a solvency test, as prescribed in the Companies Act, and the provisions, if any, of the memorandum and articles of association of an exempted company incorporated in the Cayman Islands, an exempted company incorporated in the Cayman Islands may pay dividends and distributions out of its share premium account. In addition, based upon English case law that is likely to be persuasive in the Cayman Islands, dividends may be paid out of profits.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Hong Kong.    </w:t>
      </w:r>
      <w:r>
        <w:rPr>
          <w:rFonts w:ascii="Times New Roman;Times;Serif" w:hAnsi="Times New Roman;Times;Serif"/>
          <w:b w:val="false"/>
          <w:i w:val="false"/>
          <w:caps w:val="false"/>
          <w:smallCaps w:val="false"/>
          <w:sz w:val="20"/>
          <w:bdr w:val="single" w:sz="12" w:space="5" w:color="000000"/>
        </w:rPr>
        <w:t>Under Hong Kong law, dividends may only be paid out of distributable profits (that is, accumulated realized profits less accumulated realized losses) or other distributable reserves. Dividends cannot be paid out of share capital. There are no restrictions or limitations under the laws of Hong Kong imposed on the conversion of HK dollars into foreign currencies and the remittance of currencies out of Hong Kong, nor is there any restriction on foreign exchange to transfer cash between the Company and its subsidiaries, across borders and to U.S. investors, nor are there any restrictions or limitations on distributing earnings from our business and subsidiaries to the Company and U.S. investors. Under the current practice of the Inland Revenue Department of Hong Kong, no tax is payable in Hong Kong in respect of dividends paid by 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we are a holding company, our ability to make dividend payments, if any, would be contingent upon our receipt of funds from our Hong Kong Operating Subsidiary and Etoiles Financial through our intermediate holding company.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more information, see “Consolidated Statements of Changes in Shareholders’ Equity” in the audited financial statements for the years ended December 31, 2025, 2024 and 2023 contained in our Annual Report on Form 20-F.</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Permission Required from Hong Kong Authorities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Hong Kong is a special administration region of China, having its own governmental and legal system that is independent from mainland China, and as a result, has its own distinct rules and regulation. Etoiles Consultancy is our Hong Kong Operating Subsidiary in Hong Kong, while Etoiles Financial has no operation on its own. According to the legal opinion issued by our Hong Kong counsel, David Fong &amp; Co., Solicitors, we, including Etoiles Consultancy and Etoiles Financial, have received all requisite permissions or approvals from the Hong Kong authorities to operate our business, including but not limited to obtaining a relevant certificate of incorporation and business license, and that we, including Etoiles Consultancy and Etoiles Financial are not required to obtain any permission or approval from Hong Kong authorities to offer the shares of Etoiles Cayman to foreign investors. Further, uncertainties still exist due to the possibility that laws, regulations, or policies in Hong Kong could change rapidly in the future. Should there be any change in applicable laws, regulations, or interpretations, and we or any of our subsidiaries are required to obtain such permissions or approvals in the future, we will strive to comply with the then applicable laws, regulations, or interpretations. In the event that we, including Etoiles Consultancy and Etoiles Financial, (i) do not receive or fail to maintain such permissions or approvals in the future, (ii) inadvertently conclude that relevant permissions or approvals were not required, or (iii) are required to obtain such permissions or approvals in the future following applicable laws, regulations, or interpretation changes, any action taken by the Hong Kong government could significantly limit or completely hinder our operations and our ability to offer or continue to offer securities to investors and could cause the value of our securities to significantly decline or be worthless.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Permission Required from Mainland China Authorities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conduct all of our operations in Hong Kong through our Hong Kong Operating Subsidiary. However, there are legal and operational risks associated with being based in and having the majority of our operations in Hong Kong. The PRC government has recently indicated that it may exert more control or influence over offerings of securities conducted overseas. The management understands that as of the date of this prospectus, we are not subject to cybersecurity review with the Cyberspace Administration of China (“CAC”) to conduct business operations in China, given that: (i) we do not operate any network platform or provide any network service for individual users, (ii) all the customers and suppliers of our Hong Kong Operating Subsidiary are enterprises, (iii) we do not possess a large amount of personal information in our business operations, (iv) we are not recognized as “operators of critical information infrastructure” by any authentic authority, (v) we have not been involved in any investigations initiated by the CAC, nor have we received any inquiry, notice, warning, or sanction in such respect. Nevertheless, the Measures for Cybersecurity Review (2021 version) was recently adopted and the Network Internet Data Protection Draft Regulations is in the process of being formulated and the interpretation and application of these regulations remain unclear. We have been closely monitoring regulatory developments in China regarding any necessary approvals from the CSRC, the CAC, or other PRC governmental authorities required for the conduct of our business operations and overseas listings, including this Offering.</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The Trial Measures, together with the Guidance Rules and Notice, reiterate the basic supervision principles by providing substantially requirements for filings of overseas offering and listing by domestic companies. 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its submission of initial public offerings or listing application. Based on the understanding of the relevant PRC laws and regulations of our PRC Counsel, China Commercial Law Firm, as of the date of this prospectus, our offering will not be identified as an indirect overseas issuance. The Trial Measures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light of the foregoing and based on the opinion of our PRC Counsel, we believe that the listing of our Class A Ordinary Shares on The Nasdaq Capital Market (“Nasdaq”) does not constitute an “indirect overseas offering and listing by PRC domestic companies” and that we are not required to complete the filing procedures as stipulated by the Trial Measures because the Company did not obtain any operating revenue, total profit, total assets and net assets in mainland China for the years ended December 31, 2024 and 2023,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Based on our management’s internal assessment and on the opinion of our PRC counsel, the Company and its subsidiaries currently have no operations in the mainland China, our management understands that as of the date of this prospectus, the Company is not required to obtain any permissions or approvals from PRC authorities before listing in the U.S. and to issue our Ordinary Shares to foreign investors, including the CAC or the CSRC because (i) the CSRC currently has not issued any definitive rule or interpretation concerning whether offerings like ours under this prospectus are subject to this regulation; and (ii) we operate in Hong Kong and is not included in the categories of industries and companies whose foreign securities offerings are subject to review by the CSRC or the CAC. We also understand that Etoiles Financial and Etoiles Consultancy are not required to obtain any permissions or approvals from any Chinese authorities to operate their businesses as of the date of this prospectus. No permissions or approvals have been applied for by the Company or denied by any relevant authorities. However, uncertainties still exist, due to the possibility that laws, regulations, or policies in the PRC could change rapidly in the future.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we or our Hong Kong Operating Subsidiary or Etoiles Financial (i) inadvertently conclude that such relevant permissions or approvals are not required, or (ii) applicable laws, regulations, or interpretations change, including the expansion of the categories of industries and companies whose foreign securities offerings are subject to review and require us to obtain such permissions or approvals in the future by the CSRC or the CAC, we may face sanctions by the CSRC, the CAC or other PRC regulatory agencies. These regulatory agencies may impose fines and penalties on our operations in China, limit our ability to pay dividends outside of China, limit our operations in China, delay or restrict the repatriation of the proceeds from this Offering into China or take other actions that could have a material adverse effect on our business as well as the trading price of our Class A Ordinary Shares. We could be required to restructure our operations to comply with such regulations or potentially cease operations in the PRC entirely. The CSRC, the CAC or other PRC regulatory agencies also may take actions requiring us, or making it advisable for us, to halt this Offering before settlement and delivery of our Class A Ordinary Shares. In addition, if the CSRC, the CAC or other regulatory PRC agencies later promulgate new rules requiring that we obtain their approvals for this Offering, we may be unable to obtain a waiver of such approval requirements, if and when procedures are established to obtain such a waiver. Any action taken by the PRC government could significantly limit or completely hinder our operations in the PRC and our ability to offer or continue to offer securities to investors and could cause the value of such securities to significantly decline or be worthless.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Further, the Regulations on Mergers and Acquisitions of Domestic Companies by Foreign Investors, or the M&amp;A Rules, adopted by six PRC regulatory agencies in 2006 and amended in 2009, requires an overseas special purpose vehicle formed for offering purposes through acquisitions of PRC domestic companies and controlled by PRC persons or entities with shares of the offshore special purchase vehicles to obtain the approval of the CSRC prior to the offering and trading of such special purpose vehicle’s securities on an overseas stock exchange. Based on the opinion of our PRC Counsel, the Management understands that we will not be required to submit an application to the CSRC for the approval of the offering and trading of our Class A Ordinary Shares because (i) our Hong Kong Operating Subsidiary and Etoiles Financial were not established through a merger or requisition of the equity or assets of a “PRC domestic company” as such term is defined under the M&amp;A Rules, (ii) our Hong Kong Operating Subsidiary and Etoiles Financial are non-mainland China entities, and they have not been controlled by a non-PRC persons since its incorporation, and (iii) the CSRC currently has not issued any definitive rule or interpretation concerning whether an offering like ours under this document is subject to this regulation. However, uncertainties still exist as to how the M&amp;A Rules will be interpreted or implemented, and is subject to any new laws, rules, and regulations or detailed implementations and interpretations in any form relating to the M&amp;A Rules. If CSRC approval is required, it is uncertain whether we can or how long it will take us to obtain the approval and, even if we obtain such CSRC approval, such CSRC approval could be rescinded. We cannot assure you that relevant PRC government authorities, including the CSRC, would reach the same conclusion as 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an “emerging growth company,” as defined in Section 2(a)(19) of the Securities Act, as modified by the Jumpstart Our Business Startups Act of 2012, as amended (the “JOBS Act”), and it may take advantage of certain exemptions from various reporting requirements that are applicable to other companies that are not emerging growth companies, including, but not limited to, not being required to comply with the auditor attestation requirements of Section 404 of the Sarbanes-Oxley Act of 2002, as amended (“SOX”),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Etoiles Capital has elected to take advantage of the benefits of this extended transition period. This may make comparison of Etoiles Capital’s financial statements with certain other public companies difficult or impossible because of the potential differences in accounting standards used.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will remain an emerging growth company until the earlier of (1) the last day of the fiscal year (a) following the fifth anniversary of the completion of the first sale of its securities pursuant to a registration statement that has been declared effective, (b) in which it has total annual gross revenue of at least US$1.235 billion (as adjusted for inflation pursuant to SEC rules from time to time), or (c) in which it is deemed to be a large accelerated filer, which means the market value of its Class A ordinary shares that are held by non-affiliates exceeds US$700 million as of the prior June 30th, and (2) the date on which it has issued more than US$1.00 billion in non-convertible debt during the prior three-year period.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TICKER SYMBOL AND DIVIDEND INFORMATION</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Etoiles Capital Ordinary Shares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Class A ordinary shares are currently listed on Nasdaq under the symbol “EFTY “.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Holders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September 17, 2026, there were approximately 734 holders  of record of our Class A ordinary shares and 0 holder of record of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Dividend Policy</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cash dividends have ever been declared or paid on the common equity to date by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should carefully consider the following risk factors, together with all of the other information included and incorporated by reference in this proxy statement/prospectus, before they decide whether to vote or instruct their vote to be cast to approve the proposals described in this proxy statement/prospectus. These risks could have a material adverse effect on the business, results of operations or financial condition of Etoiles Capital Nevada and could adversely affect the trading price of its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as a shareholder will change as a result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your rights as a shareholder of Etoiles Capital arise under the laws of the Cayman Islands, as well as the Existing Organizational Documents. At the effective time of the domestication, your rights as a shareholder of Etoiles Capital Nevada will arise under Nevada law, as well as the Proposed Organizational Documents. The Proposed Organizational Documents and Nevada law contain provisions that differ in certain material respects from those in our Existing Organizational Documents and Cayman Islands law and, therefore, some of your rights as a shareholder will change. For a description of your rights following the domestication and how they may differ from your current rights, please see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We also urge shareholders to carefully consult the information set forth in the Existing Organizational Documents of Etoiles Capital, attached hereto as Annex A, and the Proposed Organizational Documents of Etoiles Capital Nevada, attached hereto as Annexes B and 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domesticate to the U.S. and such domestication may result in disruptions to our business or otherwise materially harm our results of operations or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while our principal offices, management and board members are located in Hong Kong. If the domestication proposal and new charter proposal are approved, we will begin proceedings in the Cayman Islands to domesticate to the State of Nevada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this proxy statement/prospectus, and such domestication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Proposed Organizational Documents and under Nevada law could make an acquisition of us more difficult and limit attempts by our shareholders to replace or remove our current management.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Existing Organizational Documents and Proposed Organizational Documents contain anti-takeover provisions that may have the effect of delaying or preventing a change in control or changes in our management. The Proposed Organizational Documents, which will be effective at the effective time of the domestication, include the following anti-takeover provisions: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 regarding how shareholders may present proposals to nominate directors for election at shareholder meetings; and</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directors, and not shareholders, to fill vacancies on the Board.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comparison of how these provisions may differ from your current rights, please see “</w:t>
      </w:r>
      <w:r>
        <w:rPr>
          <w:rFonts w:ascii="Times New Roman;Times;Serif" w:hAnsi="Times New Roman;Times;Serif"/>
          <w:b w:val="false"/>
          <w:i/>
          <w:caps w:val="false"/>
          <w:smallCaps w:val="false"/>
          <w:sz w:val="20"/>
        </w:rPr>
        <w:t>Comparison of Corporate Governance and Shareholder Rights.”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shareholders to replace or remove our current management by making it more difficult for shareholders to replace members of Etoiles Capital Nevada’s board of directors, which is responsible for appointing the members of our management, and may discourage, delay or prevent a transaction involving a change in control of Etoiles Capital Nevada that is in the best interest of our minority shareholders. Even in the absence of a takeover attempt, the existence of these provisions may adversely affect the prevailing market price of our common stock if shareholders view them as discouraging future takeover attempts.</w:t>
      </w:r>
    </w:p>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provision in the Proposed Bylaws could limit the ability of our stockholders to obtain a judicial forum they find favorable for disputes with us or our directors, officers or employees, may increase the costs of bringing a claim, and may discourage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of the Proposed Bylaws provides that, unless Etoiles Capital Nevada consents in writing to the selection of an alternative forum, a state court located within the State of Nevada (or, if no state court located within the State of Nevada has jurisdiction, the federal district court for the District of Nevada) will be the sole and exclusive forum for (i) any derivative action or proceeding brought on behalf of Etoiles Capital Nevada, (ii) any action asserting a claim of breach of a fiduciary duty owed by any director, officer or other employee of Etoiles Capital Nevada to Etoiles Capital Nevada or its stockholders, (iii) any action asserting a claim against Etoiles Capital Nevada or any of its directors, officers or other employees arising pursuant to any provision of Chapter 78 or Chapter 92A of the NRS, the Proposed Charter or the Proposed Bylaws, and (iv) any action asserting a claim against Etoiles Capital Nevada or any of its directors, officers or other employees governed by the internal affairs doctrine. Article X also provides that, unless Etoiles Capital Nevada consents in writing to the selection of an alternative forum, the federal district courts of the United States will, to the fullest extent permitted by law, be the sole and exclusive forum for any complaint asserting a cause of action arising under the Securities Act. Article X does not apply to claims arising under the Exchange Act, including any direct action to enforce rights or duties created by the Exchange Act, or to any other claim for which the federal courts have exclusive jurisdiction. For a description of the material terms of Article  X, see “</w:t>
      </w:r>
      <w:r>
        <w:rPr>
          <w:rFonts w:ascii="Times New Roman;Times;Serif" w:hAnsi="Times New Roman;Times;Serif"/>
          <w:b w:val="false"/>
          <w:i/>
          <w:caps w:val="false"/>
          <w:smallCaps w:val="false"/>
          <w:sz w:val="20"/>
        </w:rPr>
        <w:t>Anti-Takeover Effects of Provisions of the Proposed Charter and the Proposed Bylaws—Exclusive Forum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a stockholder’s ability to bring a claim in a judicial forum that the stockholder finds favorable for disputes with Etoiles Capital Nevada or its directors, officers or other employees, and may discourage lawsuits against Etoiles Capital Nevada and its directors, officers and other employees even though an action, if successful, might benefit our stockholders. Because our principal offices, management and some of the board members  are located in Hong Kong and our stockholders may reside outside of Nevada, requiring that covered claims be brought in Nevada may impose additional litigation costs on stockholders, including travel, local counsel and other expenses, in pursuing any such claim. A Nevada court may also reach different judgments or results than would other courts, including courts in the jurisdiction where a stockholder is located or would otherwise choose to bring the action, and those judgments may be more or less favorable to Etoiles Capital Nevada than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uncertainty as to whether a court would enforce the exclusive forum provision. A court could find that the provision is inapplicable to a particular claim or action, or is unenforceable in whole or in part, including on the grounds that enforcement would be unreasonable or unjust, would contravene a strong public policy of the forum in which the suit is brought, or would deprive the plaintiff of its day in court. With respect to the federal forum provision for Securities Act claims, a court could decline to enforce that provision in light of the concurrent jurisdiction that Section 22 of the Securities Act confers on federal and state courts over claims brought to enforce any duty or liability created by the Securities Act.  If a court were to find the exclusive forum provision inapplicable or unenforceable, Etoiles Capital Nevada may incur additional costs associated with resolving the dispute in other jurisdictions, which could adversely affect its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exclusive forum provision, investors cannot waive, and will not be deemed to have waived, compliance with the federal securities laws and the rules and regulations thereunder.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passive foreign investment company, which could result in adverse United States federal income tax consequences to U.S.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or has been a PFIC during the holding period of a U.S. Holder of Etoiles Capital Class A ordinary shares, such U.S. Holder of Class A ordinary shares may be subject to certain adverse U.S. federal income tax consequences as a result of the domestication. There is no assurance that Etoiles Capital is not currently or has not been a PFIC during the holding period of a U.S. Holder of Class A ordinary shares. If Etoiles Capital has been a PFIC for any taxable year during the holding period of a U.S. Holder of Class A ordinary shares (and a U.S. Holder of Class A ordinary shares has not made certain elections with respect to its Class A ordinary shares), such U.S. Holder of Class A ordinary shares may recognize gain (but not loss if the domestication qualifies as a Reorganization) upon the exchange of Class A ordinary shares for shares of Etoiles Capital Nevada Common Stock pursuant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Etoiles Capital is treated as a PFIC for U.S. federal income tax purposes is a factual determination that must be made annually at the close of each taxable year and, thus, is subject to significant uncertainty. Based upon our current income and assets, we do not expect to be a PFIC for the current taxable year. 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explanation of the tax consequences of PFIC classification to U.S. Holders, see the section of this proxy statement/prospectus captioned “</w:t>
      </w:r>
      <w:r>
        <w:rPr>
          <w:rFonts w:ascii="Times New Roman;Times;Serif" w:hAnsi="Times New Roman;Times;Serif"/>
          <w:b w:val="false"/>
          <w:i/>
          <w:caps w:val="false"/>
          <w:smallCaps w:val="false"/>
          <w:sz w:val="20"/>
        </w:rPr>
        <w:t>Material U.S. Federal Income Tax Considerations—U.S. Holders—PFIC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incur transaction costs in connection with the completion of the domestication and related transactions, some of which will be incurred whether or not the domestication is completed.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your vote to adopt the domestication resolution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the domestication qualifies as a Reorganization, a U.S. Holder may still recognize gain with respect to their Class A ordinary shares as a result of the domestication and may cause non-U.S. Holders to become subject to U.S. federal income withholding tax after the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and qualifications described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including the application of the PFIC rules and Section 367(b) of the Code, the domestication is intended to qualify as a Reorganization and, if so treated, a U.S. Holder (as defined below) generally would not recognize gain or loss on the deemed exchange of Etoiles Capital Class A ordinary shares for shares of Etoiles Capital Nevada Common Stock pursuant to the domestication. If the domestication qualifies as a Reorganization, a U.S. Holder of Class A ordinary shares may still recognize gain (but not loss) or be required to include the “all earnings and profits amount” upon the exchange of its Class A ordinary shares for shares of Common Stock pursuant to the domestication under Section 367(b) of the Code. See the discussion under “</w:t>
      </w:r>
      <w:r>
        <w:rPr>
          <w:rFonts w:ascii="Times New Roman;Times;Serif" w:hAnsi="Times New Roman;Times;Serif"/>
          <w:b w:val="false"/>
          <w:i/>
          <w:caps w:val="false"/>
          <w:smallCaps w:val="false"/>
          <w:sz w:val="20"/>
        </w:rPr>
        <w:t>Material U.S. Federal Income Tax Considerations—U.S. Holders—Effects of Section 367 to U.S. Holders</w:t>
      </w:r>
      <w:r>
        <w:rPr>
          <w:rFonts w:ascii="Times New Roman;Times;Serif" w:hAnsi="Times New Roman;Times;Serif"/>
          <w:b w:val="false"/>
          <w:i w:val="false"/>
          <w:caps w:val="false"/>
          <w:smallCaps w:val="false"/>
          <w:sz w:val="20"/>
        </w:rPr>
        <w:t>” for further details.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the PFIC rules, even if the domestication qualifies as a Reorganization, a U.S. Holder of Etoiles Capital Class A ordinary shares may, in certain circumstances, still recognize gain (but not loss) upon the deemed exchange of its Class A ordinary shares for shares of Etoiles Capital Nevada Common Stock under the proposed Treasury Regulations promulgated under Section 1291(f) of the Code. Under such rules, the gain would be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 xml:space="preserve">Material U.S. Federal Income Tax Considerations” </w:t>
      </w:r>
      <w:r>
        <w:rPr>
          <w:rFonts w:ascii="Times New Roman;Times;Serif" w:hAnsi="Times New Roman;Times;Serif"/>
          <w:b w:val="false"/>
          <w:i w:val="false"/>
          <w:caps w:val="false"/>
          <w:smallCaps w:val="false"/>
          <w:sz w:val="20"/>
        </w:rPr>
        <w:t>herein) to become subject to U.S. federal income withholding taxes on any dividends in respect of such non-U.S. Holder’s Etoiles Capital Nevada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CONSULT YOUR TAX ADVISORS WITH RESPECT TO THE APPLICATION OF U.S. FEDERAL TAX LAWS TO YOUR PARTICULAR SITUATION, AS WELL AS ANY TAX CONSEQUENCES ARISING UNDER THE LAWS OF ANY STATE, LOCAL OR NON-U.S. JURISDICTION.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PROPOSAL NO. 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this proxy statement/prospectus, we are asking our shareholders to approve the domestication proposal. Each of (i) the full Board of Etoiles Capital and (ii) the directors of the Board who do not own Class B ordinary shares unanimously approved and recommended that shareholders approve a change of our jurisdiction of incorporation from the Cayman Islands to the State of Nevada by deregistering as an exempted company in the Cayman Islands and domesticating and continuing as a corporation incorporated under the laws of the State of Nevada. To effect the domestication, upon approval of the domestication proposal and the new charter proposal, we will file an application for deregistration with the Cayman Islands Registrar of Companies, together with the necessary accompanying documents and fees, and file the Proposed Charter and a Certificate of Corporate Domestication with the Secretary of State of the State of Nevada, under which we will be domesticated and continue as a Nevada corporation.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together with the new charter proposal, if approved, will approve a change of our jurisdiction of incorporation from the Cayman Islands to the State of Nevada. Accordingly, while we are currently governed by the Cayman Islands Companies Act, upon effectiveness of the domestication, Etoiles Capital Nevada will be governed by the NRS.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Additionally, in connection with the domestication proposal, we are asking Etoiles Capital’s shareholders to approve the new charter proposal (with the approval of the domestication proposal being conditioned upon the new charter proposal also being approved). We urge shareholders to carefully consult the information provided in the Existing Organizational Documents, attached hereto as Annex A, and the Proposed Organizational Documents of Etoiles Capital Nevada, forms of which are attached hereto as Annexes B and 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significant advantages to Etoiles Capital Nevada that will arise as a result of a change of domicile to Nevada. Further, our Board believes that any direct benefit that Nevada law provides to a corporation also indirectly benefits the shareholders, who are the owners of the corporation. Our Board believes that there are several reasons why a domestication from the Cayman Islands to Nevada is in the best interests of us and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explained in more detail below, our reasons for the domestication can be summarized as follows: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Increased Benefits for Our Shareholders. </w:t>
      </w:r>
      <w:r>
        <w:rPr>
          <w:rFonts w:ascii="Times New Roman;Times;Serif" w:hAnsi="Times New Roman;Times;Serif"/>
          <w:b w:val="false"/>
          <w:i w:val="false"/>
          <w:caps w:val="false"/>
          <w:smallCaps w:val="false"/>
          <w:sz w:val="20"/>
        </w:rPr>
        <w:t>The domestication is expected to result in benefits for our shareholders, including (i) simplified shareholder tax reporting and tax efficiency, (ii) enhanced shareholder ownership because some institutional investors are subject to constraints on owning stock of companies not incorporated in the United States, (iii) potential for increased common stock liquidity due in part to the potentially enhanced shareholder ownership described above and (iv) that becoming a Nevada corporation is expected to result in us being subject to a body of law that is likely more familiar to our shareholders and potential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Ability to Attract and Retain Qualified Directors</w:t>
      </w:r>
      <w:r>
        <w:rPr>
          <w:rFonts w:ascii="Times New Roman;Times;Serif" w:hAnsi="Times New Roman;Times;Serif"/>
          <w:b w:val="false"/>
          <w:i w:val="false"/>
          <w:caps w:val="false"/>
          <w:smallCaps w:val="false"/>
          <w:sz w:val="20"/>
        </w:rPr>
        <w:t>. Domestication from the Cayman Islands to Nevada is attractive to directors, officers, and shareholders alike. Etoiles Capital Nevada’s incorporation in Nevada may make Etoiles Capital Nevada more attractive to future candidates for our Board. To date, we have not experienced difficulty in retaining directors or officers, but directors of public companies are exposed to significant potential liability. Thus, candidates’ familiarity and comfort with Nevada laws—especially those relating to director personal liability and indemnification (as discussed below)—draw such qualified candidates to Nevada corporations. Our Board therefore believes that providing the benefits afforded directors by Nevada law will enable Etoiles Capital Nevada to compete more effectively with other public companies in the recruitment of talented and experienced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We believe that, in general, Nevada law is more developed and provides more guidance than Cayman Islands law on matters regarding limitation of director liability. As a result, we believe that the corporate environment afforded by Nevada will enable Etoiles Capital Nevada to compete more effectively with other public companies in attracting and retaining new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Accounting Treatment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ours immediately prior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is conditioned on the approval and adoption of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 Special Resolution that pursuant to the power contained in Article 30 of the Company’s second amended and restated memorandum and articles of association, the domestication of Etoiles Capital Group Co., Ltd, being the registration by way of domestication and continuation as a body corporate under the laws of the State of Nevada and deregistration in the Cayman Islands, be approved, and Etoiles Capital Group Co., Ltd be authorized to file the Proposed Charter and a Certificate of Corporate Domestication with the Secretary of State of the State of Nevada to domesticate and continue as a corporation in the State of Nevada, pursuant to Sections 206 and 207 of the Companies Act (As Revised) of the Cayman Islands and section 92A.270 of the Nevada Revised Statutes.”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DOMESTICATION PROPOSAL.</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PROPOSAL NO. 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CHARTER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and the new charter proposal are approved, Etoiles Capital will domesticate to the State of Nevada and in connection therewith alter its Existing Organizational Documents under the Cayman Islands Companies Act by replacing them in full with the Proposed Charter and Proposed Bylaws of Etoiles Capital Nevada, in each case, under the NRS. The domestication proposal is conditioned on the approval and adoption of the Proposed Charter being requested pursuant to this new charter proposal. The Proposed Charter and the Proposed Organizational Documents do not alter the Nevada statutory requirements for amendment of charter documents.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charter proposal is conditioned on the approval and adoption of the domestication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 special resolution, that the proposed alterations to the existing second amended and restated memorandum and articles of association of Etoiles Capital Group Co., Ltd (the “Articles”) be and are hereby approved and the Articles be replaced in their entirety with, and the shareholders hereby approve and adopt, the articles of incorporation and the addendum to the articles of incorporation of Etoiles Capital Group Co., Ltd, a copy of which is attached to the proxy statement/prospectus as Annex B1 and Annex B2, respectively, effective at the effective time of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THE APPROVAL OF THE NEW CHARTER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a_009"/>
      <w:bookmarkEnd w:id="8"/>
      <w:r>
        <w:rPr>
          <w:rFonts w:ascii="Times New Roman;Times;Serif" w:hAnsi="Times New Roman;Times;Serif"/>
          <w:b/>
          <w:i w:val="false"/>
          <w:caps w:val="false"/>
          <w:smallCaps w:val="false"/>
          <w:sz w:val="20"/>
        </w:rPr>
        <w:t>PROPOSAL NO. 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voted to nominate each of Kit Shing, CHEUNG, Wesley CHU, Yeung Tak, CHEN and Nancy YANG for election at the annual general meeting for a term of three years to serve until the 2029 annual general meeting of shareholders, and until their respective successors are elected and qualified. If each of the directors is elected and the domestication proposal is approved, the members of the Board of Etoiles Capital Nevada will remain the same following the domestication. For additional information on the director nominees, see “</w:t>
      </w:r>
      <w:r>
        <w:rPr>
          <w:rFonts w:ascii="Times New Roman;Times;Serif" w:hAnsi="Times New Roman;Times;Serif"/>
          <w:b w:val="false"/>
          <w:i/>
          <w:caps w:val="false"/>
          <w:smallCaps w:val="false"/>
          <w:sz w:val="20"/>
        </w:rPr>
        <w:t>Management and Corporate Governance—Director Nominees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authority to vote for any of these nominees is withheld, the shares represented by the enclosed proxy will be voted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election of each of Kit Shing, CHEUNG, Wesley CHU, Yeung Tak, CHEN and Nancy YANG as directors. In the event that any nominee becomes unable or unwilling to serve, the shares represented by the enclosed proxy will be voted for the election of such other person as the Board may recommend in that nominee’s place. We have no reason to believe that any nominee will be unable or unwilling to serve as a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resolutions to be proposed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Kit Shing, CHEUNG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Wesley CHU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Yeung Tak, CHEN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Nancy YANG be appointed to serve as a director on the Board for a three-year term that will expire at the annual general meeting of shareholders in 2029.”</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ELECTION OF EACH OF KIT SHING, CHEUNG, WESLEY CHU, YEUNG TAK, CHEN AND NANCY YANG. AS DIRECTORS, AND PROXIES SOLICITED BY THE BOARD WILL BE VOTED IN FAVOR THEREOF UNLESS A SHAREHOLDER HAS INDICATED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a_010"/>
      <w:bookmarkEnd w:id="9"/>
      <w:r>
        <w:rPr>
          <w:rFonts w:ascii="Times New Roman;Times;Serif" w:hAnsi="Times New Roman;Times;Serif"/>
          <w:b/>
          <w:i w:val="false"/>
          <w:caps w:val="false"/>
          <w:smallCaps w:val="false"/>
          <w:sz w:val="20"/>
        </w:rPr>
        <w:t>PROPOSAL NO. 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SELECTION OF INDEPENDENT REGISTERED PUBLIC ACCOUNTING FIRM</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SRCO, C.P.A., Professional Corporation, as our independent registered public accounting firm, to audit our financial statements for the fiscal year ending December 31, 2026. SRCO, C.P.A., Professional Corporation has served as our independent registered public accounting firm since 2024. The Board proposes that the shareholders ratify this appointment. SRCO, C.P.A., Professional Corporation audited our financial statements for the fiscal year ended December 31, 2025 and 2024. We do not expect that representatives of SRCO, C.P.A., Professional Corporation will be present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to appoint SRCO, C.P.A., Professional Corporation, the Audit Committee reviewed auditor independence issues and existing commercial relationships with SRCO, C.P.A., Professional Corporation and concluded that SRCO, C.P.A., Professional Corporation has no commercial relationship with the Company that would impair its independence for the fiscal year ending December 31,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Public Accountant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two categories—audit or other no-audit services that the independent auditor provides. Prior to the annual engagement, the Audit Committee may grant general pre-approval for independent auditor services within these two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initial public offering were pre-approved by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fees billed for professional services rendered by SRCO, C.P.A., Professional Corporation to us in 2025 and 2024. A description of these various fees and services follows the table (in thousands).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1865"/>
        <w:gridCol w:w="60"/>
        <w:gridCol w:w="60"/>
        <w:gridCol w:w="800"/>
        <w:gridCol w:w="60"/>
        <w:gridCol w:w="60"/>
        <w:gridCol w:w="60"/>
        <w:gridCol w:w="800"/>
        <w:gridCol w:w="75"/>
      </w:tblGrid>
      <w:tr>
        <w:trPr/>
        <w:tc>
          <w:tcPr>
            <w:tcW w:w="18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24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This category consists of tax compliance, tax planning and tax advice.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 This category consists of fees for permitted services other than the services reported in audit fees and tax fees.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shareholders do not ratify the appointment of SRCO, C.P.A., Professional Corporation as our independent registered public accounting firm, the Audit committee will reconsider its appointment.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to ratify the appointment of independent registered public accounting firm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passed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the appointment of SRCO, C.P.A., Professional Corporation as the independent registered public accounting firm of the Company for the fiscal year ending December 31, 2026 be confirmed, ratified and approved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RATIFICATION OF THE APPOINTMENT OF SRCO, C.P.A., PROFESSIONAL CORPORATION AS OUR INDEPENDENT REGISTERED PUBLIC ACCOUNTING FIRM, AND PROXIES SOLICITED BY THE BOARD WILL BE VOTED IN FAVOR OF SUCH RATIFICATION UNLESS A SHAREHOLDER INDICATES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a_011"/>
      <w:bookmarkEnd w:id="10"/>
      <w:r>
        <w:rPr>
          <w:rFonts w:ascii="Times New Roman;Times;Serif" w:hAnsi="Times New Roman;Times;Serif"/>
          <w:b/>
          <w:i w:val="false"/>
          <w:caps w:val="false"/>
          <w:smallCaps w:val="false"/>
          <w:sz w:val="20"/>
        </w:rPr>
        <w:t>PROPOSAL NO. 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allows the Board to submit a proposal to approve, by ordinary resolution, the adjournment of the annual general meeting to a later date or dates, if necessary, to permit further solicitation of proxies in the event,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presented to the annual general meeting and is not approved by the shareholders, the Board may not be able to adjourn the annual general meeting to a later date in the event that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proposal requires an ordinary resolution, being the affirmative vote of the holders of a majority of the votes cast by the Class A ordinary shares, represented in person or by proxy and entitled to vote thereon and who vote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is not conditioned upon any other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an ordinary resolution, that the adjournment of the annual general meeting to a later date or dates, if necessary or appropriate, to permit further solicitation and vote of proxies in the event that it is determined by Etoiles Capital that more time is necessary or appropriate to approve one or more proposals at the Annual meeting be approved and adopted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ADJOURNMENT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of the directors might be deemed to have potential interests in and arising from the domestication that are different from or in addition to the interests of Etoiles Capital and its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1" w:name="a_012"/>
      <w:bookmarkEnd w:id="11"/>
      <w:r>
        <w:rPr>
          <w:rFonts w:ascii="Times New Roman;Times;Serif" w:hAnsi="Times New Roman;Times;Serif"/>
          <w:b/>
          <w:i w:val="false"/>
          <w:caps w:val="false"/>
          <w:smallCaps w:val="false"/>
          <w:sz w:val="20"/>
        </w:rPr>
        <w:t>COMPARISON OF CORPORATE GOVERNANCE AND SHAREHOLDER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is an exempted company incorporated under the Cayman Islands Companies Act. The Cayman Islands Companies Act and the Existing Organizational Documents govern the rights of its shareholders. The Cayman Islands Companies Act differs in some material respects from laws generally applicable to Nevada corporations and their stockholders. In addition, the Existing Organizational Documents will differ in certain material respects from the Proposed Organizational Documents of Etoiles Capital Nevada. As a result, when you become a stockholder of Etoiles Capital Nevada, your rights will differ in some regards as compared to when you were a shareholder of Etoiles Capital before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chart outlining important similarities and differences in the corporate governance and shareholder rights associated with each of Etoiles Capital and Etoiles Capital Nevada according to applicable law and/or the Existing Organizational Documents of Etoiles Capital and Proposed Organizational Documents Etoiles Capital Nevada. You also should review the Existing Organizational Documents of Etoiles Capital and the Proposed Organizational Documents of Etoiles Capital Nevada attached hereto as Annexes A, B and C to this proxy statement/prospectus, as well as the NRS and corporate laws of the Cayman Islands, including the Cayman Islands Companies Act, to understand how these laws apply to Etoiles Capital and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140"/>
        <w:gridCol w:w="4231"/>
        <w:gridCol w:w="140"/>
        <w:gridCol w:w="4331"/>
      </w:tblGrid>
      <w:tr>
        <w:trPr/>
        <w:tc>
          <w:tcPr>
            <w:tcW w:w="1363"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42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43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Approval of Business Combinations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rFonts w:ascii="Times New Roman;Times;Serif" w:hAnsi="Times New Roman;Times;Serif"/>
              </w:rPr>
              <w:t>Mergers require a Special Resolution (as defined in the Cayman Islands Companies Act), and any other authorization as may be specified in the relevant articles of association. Parties holding certain security interests in the constituent companies must also consent.</w:t>
            </w:r>
            <w:r>
              <w:rPr/>
              <w:t xml:space="preserve">   </w:t>
            </w:r>
            <w:r>
              <w:rPr>
                <w:rFonts w:ascii="Times New Roman;Times;Serif" w:hAnsi="Times New Roman;Times;Serif"/>
              </w:rPr>
              <w:t>All mergers (other than parent/subsidiary mergers) require shareholder approval - there is no exception for smaller mergers.</w:t>
            </w:r>
            <w:r>
              <w:rPr/>
              <w:t xml:space="preserve">   </w:t>
            </w:r>
            <w:r>
              <w:rPr>
                <w:rFonts w:ascii="Times New Roman;Times;Serif" w:hAnsi="Times New Roman;Times;Serif"/>
              </w:rPr>
              <w:t>Where a bidder has acquired 90% or more of the shares in a Cayman Islands company, it can compel the acquisition of the shares of the remaining shareholders and thereby become the sole shareholder.</w:t>
            </w:r>
            <w:r>
              <w:rPr/>
              <w:t xml:space="preserve">   </w:t>
            </w:r>
            <w:r>
              <w:rPr>
                <w:rFonts w:ascii="Times New Roman;Times;Serif" w:hAnsi="Times New Roman;Times;Serif"/>
              </w:rPr>
              <w:t>A Cayman Islands company may also be acquired through a “scheme of arrangement” sanctioned by a Cayman Islands court and approved by 50%+1 in number and 75% in value of shareholders in attendance and voting at a shareholders’ meeting.</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rFonts w:ascii="Times New Roman;Times;Serif" w:hAnsi="Times New Roman;Times;Serif"/>
              </w:rPr>
              <w:t>Under the NRS, subject to certain exceptions, mergers generally require approval of the board of directors and the approval of the holders of a majority of the total voting power of the outstanding shares of capital stock entitled to vote thereon of each constituent corporation.</w:t>
            </w:r>
            <w:r>
              <w:rPr/>
              <w:t xml:space="preserve">   </w:t>
            </w:r>
            <w:r>
              <w:rPr>
                <w:rFonts w:ascii="Times New Roman;Times;Serif" w:hAnsi="Times New Roman;Times;Serif"/>
              </w:rPr>
              <w:t>Under the NRS, in certain circumstances and subject to certain exceptions, mergers in which less than 20% of the acquiror’s common stock (as of immediately prior to the effective date of the merger) is issued, and where the acquiror is a constituent corporation surviving the merger, generally do not require acquirer stockholder approval.</w:t>
            </w:r>
            <w:r>
              <w:rPr/>
              <w:t xml:space="preserve">   </w:t>
            </w:r>
            <w:r>
              <w:rPr>
                <w:rFonts w:ascii="Times New Roman;Times;Serif" w:hAnsi="Times New Roman;Times;Serif"/>
              </w:rPr>
              <w:t>Under the NRS, subject to certain exceptions, mergers in which one corporation owns 90% or more of the outstanding shares of each class of stock of a second corporation may be completed without the approval of the second corporation’s board of directors or stockholders.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Votes for Routine Matters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Cayman Islands Companies Act and the Existing Organizational Documents, routine corporate matters may be approved by the board of directors, unless shareholder approval is required. Unless the Cayman Islands Companies Act or the Existing Organizational Documents expressly provide for a Special Resolution, decisions of the shareholders may be </w:t>
            </w:r>
            <w:r>
              <w:rPr>
                <w:rFonts w:ascii="Times New Roman;Times;Serif" w:hAnsi="Times New Roman;Times;Serif"/>
                <w:sz w:val="20"/>
              </w:rPr>
              <w:t>approved by an ordinary resolution (being a resolution passed by a simple majority of the shareholders who are entitled to vote and who vote at a general meeting, or by unanimous written resolution).</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Under the NRS, matters other than the election of directors require the affirmative vote of a majority of the shares present in person or represented by proxy at the meeting and entitled to vote on the subject matter (subject to certain exceptions under the NRS).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Election of Directors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appointed by an ordinary resolution (being a resolution passed by a simple majority of the shareholders who are entitled to vote and who vote). Directors may also be appointed by the Board, whether to fill a casual vacancy or as an addition to the existing Board.</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elected by a plurality of voting power of the outstanding shares present in person or represented by proxy and entitled to vote on the election of directors.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9"/>
        <w:gridCol w:w="140"/>
        <w:gridCol w:w="1753"/>
        <w:gridCol w:w="140"/>
        <w:gridCol w:w="7273"/>
      </w:tblGrid>
      <w:tr>
        <w:trPr/>
        <w:tc>
          <w:tcPr>
            <w:tcW w:w="899"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75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72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Removal of Directors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or all of the directors may be removed by an Ordinary Resolution (being the affirmative vote of the holders of a simple majority of the votes cast by the Class A ordinary shares, represented in person or by proxy, entitled to vote at a general meeting and who vote at the general meeting, or by a written resolution of the requisite majority). No cause is required.</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the NRS, directors may be removed with or without cause by the affirmative vote of the holders of at least 66 2/3% of the total voting power of the outstanding shares of capital stock entitled to vote generally in the election of directors.</w:t>
            </w:r>
          </w:p>
        </w:tc>
      </w:tr>
      <w:tr>
        <w:trPr/>
        <w:tc>
          <w:tcPr>
            <w:tcW w:w="89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pPr>
            <w:r>
              <w:rPr/>
              <w:t> </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Appraisal Rights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Minority shareholders that dissent from a merger are entitled to be paid the fair market value of their shares, which if necessary may ultimately be determined by the court.</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NRS, a holder of shares of any class or series of stock of a corporation that is listed on a national securities exchange or held of record by more than 2,000 holders and a market value of at least $20,000,000 generally does not have appraisal rights in connection with a merger, consolidation, conversion, transfer, domestication or continuance, subject to certain exceptions. Such holders do, however, generally have appraisal rights in connection with a merger if they are required by the terms of a merger agreement (or by the terms of a resolution providing for conversion, transfer, domestication or continuance pursuant to the applicable provisions of the NRS) to accept for their shares anything except: (a) cash; or (b) shares or proprietary interest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(c) cash in lieu of fractional shares or fractional depository receipts described in (a) and (b) above; or (d) any combination of the cash, shares of stock, depository receipts, or cash in lieu of fractional shares or fractional depository receipts described in (a), (b) and (c) above. Where appraisal rights are available, a stockholder who has neither voted in favor of such merger, consolidation, conversion, transfer, domestication or continuance, nor consented thereto in writing, who has properly demanded appraisal of their shares, and who otherwise complies with the requirements for perfecting and preserving their appraisal rights under Title 92A of the NRS may be entitled to receive payment in cash for the fair value of their shares (exclusive of any element of value arising from the accomplishment or expectation of such merger, consolidation, conversion, transfer, domestication or continuance), together with interest (if any) to be paid on the amount determined to be fair value of such shares, as appraised by the Nevada District Court in an appraisal proceeding. Appraisal rights are also available under the NRS in certain other circumstances, including in certain parent-subsidiary mergers and in certain circumstances where the certificate of incorporation so provides.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1"/>
        <w:gridCol w:w="140"/>
        <w:gridCol w:w="2121"/>
        <w:gridCol w:w="140"/>
        <w:gridCol w:w="6713"/>
      </w:tblGrid>
      <w:tr>
        <w:trPr/>
        <w:tc>
          <w:tcPr>
            <w:tcW w:w="109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1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671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09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 of Books and Records</w:t>
            </w:r>
          </w:p>
        </w:tc>
        <w:tc>
          <w:tcPr>
            <w:tcW w:w="14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generally do not have any rights to inspect or obtain copies of the register of shareholders or other corporate records of a company.</w:t>
            </w:r>
          </w:p>
        </w:tc>
        <w:tc>
          <w:tcPr>
            <w:tcW w:w="14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78.105 provides that a stockholder or authorized representative of stockholders of record for at least six months holding at least 5% of the outstanding shares of a Nevada corporation may inspect the charter documents and stockholder ledger of the corporation upon five days’ written demand. The demand for inspection must include an affidavit stating that the inspection is not for any purpose other than the business of the corporation and that the person seeking the inspection has not directly or indirectly sold or offered to sale any list of the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NRS provides that any stockholder or authorized representative of a group of stockholders holding at least 15% of the outstanding capital stock of a corporation has the right, upon written demand under oath (and otherwise satisfying the requirements of NRS Section 78.257), either in person or by attorney or other agent, to inspect and make copies and extracts from the corporation’s books of account and financial records for a proper purpose during the usual hours for business. A person exercising the rights of inspection must furnish an affidavit to the corporation stating that the inspection is not desired for any purpose not related to such person’s interest as a stockholder.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1"/>
        <w:gridCol w:w="140"/>
        <w:gridCol w:w="2649"/>
        <w:gridCol w:w="140"/>
        <w:gridCol w:w="5825"/>
      </w:tblGrid>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58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Lawsuits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 (e.g. where a company acts or proposes to act illegally or ultra vires (beyond the scope of its authority); the act complained of, although not ultra vires, could be effected if duly authorized by a special resolution that has not been obtained; and those who control the company are perpetrating a “fraud on the minority”).</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A stockholder may bring a derivative suit or action asserting a claim of breach of fiduciary duty of any director or officer, subject to procedural requirements and other requirements of Nevada law. Pursuant to Article X of the Proposed Bylaws, a state court located within the State of Nevada (or, if no state court located within the State of Nevada has jurisdiction, the federal district court for the District of Nevada) will be the exclusive forum for certain stockholder litigation, including derivative actions, fiduciary duty claims and claims arising under Chapter 78 or Chapter 92A of the NRS or the Proposed Organizational Documents, and the federal district courts of the United States will be the exclusive forum for claims arising under the Securities Act. This provision does not apply to claims arising under the Exchange Act or any other claim for which the federal courts have exclusive jurisdiction, and investors cannot waive compliance with the federal securities laws and the rules and regulations thereunder. See “Anti-Takeover Effects of Provisions of the Proposed Charter and the Proposed Bylaws—Exclusive Forum” and “Risk Factors.”.</w:t>
            </w:r>
          </w:p>
        </w:tc>
      </w:tr>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Fiduciary Duties of Directors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owes fiduciary duties to a company, including to exercise loyalty, honesty and good faith to the company as a whole.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fiduciary duties, directors owe a duty of care, diligence and skill. Such duties are owed to the company but may be owed direct to creditors or shareholders in certain limited circumstances.</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Generally, the standards of conduct for directors are governed by Nevada statutes. NRS 78.138(3) generally codifies the “business judgement rule” and provides that directors and officers are presumed to act in good faith, on an informed basis and with a view to the interests of the corporation. NRS 78.138(7) generally provides that a director or officer is not individually liable to the corporation or its stockholders or creditors for any damages as a result of any act or failure to act in his or her capacity as a director or officer unless (a) the presumption established by NRS 78.138(3) is rebutted and it is proven that (i) the director’s or officer’s act or failure to act constituted a breach of fiduciary duties as a director or officer; and (ii) such breach involved intentional misconduct, fraud, or a knowing violation of law. Nevada does not recognize the so called “entire fairness doctrine” and that the “business judgment rule” applies to all claims against officers and directors with no exception for 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w:t>
            </w:r>
          </w:p>
        </w:tc>
      </w:tr>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Directors and Officers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will indemnify its directors and officers, including its former directors and officers, except in respect of any matter arising out of their own dishonesty.</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 xml:space="preserve">To the fullest extent permitted by applicable law, Etoiles Capital Nevada will provide indemnification of (and advancement of expenses to) its directors and officers (subject to certain exceptions, as more fully set forth in the Proposed Organizational Documents). See also “Anti-Takeover Effects of Provisions of the Proposed Charter and the Proposed Bylaws – </w:t>
            </w:r>
            <w:r>
              <w:rPr>
                <w:i/>
              </w:rPr>
              <w:t>Indemnification</w:t>
            </w:r>
            <w:r>
              <w:rPr/>
              <w:t>” below.</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2"/>
        <w:gridCol w:w="140"/>
        <w:gridCol w:w="4872"/>
        <w:gridCol w:w="140"/>
        <w:gridCol w:w="3681"/>
      </w:tblGrid>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368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Limited Liability of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of directors may be limited by the articles of association of a company, except with regard to their actual fraud or willful default.</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no director or officer of Etoiles Capital Nevada will be personally liable to Etoiles Capital Nevada or its stockholders for monetary damages for any breach of fiduciary duty as a director or officer, except to the extent such exemption from liability or limitation thereof is not permitted under the NRS, particularly NRS 78.138(7). See also, “Anti-Takeover Effects of Provisions of the Proposed Charter and the Proposed Bylaws –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is not obliged to hold an annual general meeting of shareholders in any year unless required to do so by the rules of the designated stock exchange on which its shares are listed.</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The Proposed Bylaws provide that a meeting of stockholders for the election of directors and other business will be held annually.</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call a general meeting at any time. In addition, one or more members holding at least 10% of the rights to vote at a general meeting may requisition the Directors to call an extraordinary general meeting, and if the Directors fail to call the meeting within 21 clear days of receipt of the requisition, the requisitionists may themselves call the meeting.</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Special meetings of the stockholders may be called only by or at the direction of the chairman of the board of directors, the chief executive officer, the president, or at the direction of the Board pursuant to a written resolution adopted by a majority of the Board.</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 Proposals (Other than Nomination of Persons for Election as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Shareholders seeking to bring business before the annual general meeting or to nominate candidates for appointment as directors at the annual general meeting must deliver notice to the principal executive offices not less than 120 calendar days before the date of the proxy statement were released in connection with the previous year’s annual general meeting or, if Etoiles Capital did not hold an annual general meeting the previous year, or if the date of the current year’s annual general meeting has been changed by more than 30 days from the date of the previous year’s annual general meeting, then the </w:t>
            </w:r>
            <w:r>
              <w:rPr>
                <w:rFonts w:ascii="Times New Roman;Times;Serif" w:hAnsi="Times New Roman;Times;Serif"/>
                <w:sz w:val="20"/>
              </w:rPr>
              <w:t>deadline shall be set by the board of directors with such deadline being a reasonable time before Etoiles Capital begins to print and send its related proxy materials.</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rFonts w:ascii="Times New Roman;Times;Serif" w:hAnsi="Times New Roman;Times;Serif"/>
              </w:rPr>
              <w:t>Nominations or other business to be properly brought before an annual meeting pursuant to the Proposed Bylaws by a stockholder require timely, advance notice in writing to the Secretary and, in the case of business other than nominations of directors, must be a proper matter for stockholder action.</w:t>
              <w:br/>
              <w:br/>
            </w:r>
            <w:r>
              <w:rPr/>
              <w:t>To be timely, notice must be delivered not less than 90 days nor more than one hundred twenty 120 days prior to the first anniversary of the preceding year’s annual meeting; provided, however, that in the event that the date of the annual meeting is scheduled for more than 30 days before or following, such anniversary date, notice must be delivered not later than the 10th day following the day on which public announcement of the date of such meeting was first made.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8"/>
        <w:gridCol w:w="140"/>
        <w:gridCol w:w="2528"/>
        <w:gridCol w:w="140"/>
        <w:gridCol w:w="5769"/>
      </w:tblGrid>
      <w:tr>
        <w:trPr/>
        <w:tc>
          <w:tcPr>
            <w:tcW w:w="162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576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62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Anti-Takeover Provisions and Other Stockholder Protections:</w:t>
            </w:r>
          </w:p>
        </w:tc>
        <w:tc>
          <w:tcPr>
            <w:tcW w:w="14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does contain a comparable provision to Nevada Combinations with Interested Stockholders or the Acquisition of Controlling Interest provisions of the Nevada Statutes.</w:t>
            </w:r>
          </w:p>
        </w:tc>
        <w:tc>
          <w:tcPr>
            <w:tcW w:w="140" w:type="dxa"/>
            <w:tcBorders/>
            <w:vAlign w:val="center"/>
          </w:tcPr>
          <w:p>
            <w:pPr>
              <w:pStyle w:val="TableContents"/>
              <w:bidi w:val="0"/>
              <w:spacing w:before="0" w:after="283"/>
              <w:jc w:val="left"/>
              <w:rPr/>
            </w:pPr>
            <w:r>
              <w:rPr/>
              <w:t> </w:t>
            </w:r>
          </w:p>
        </w:tc>
        <w:tc>
          <w:tcPr>
            <w:tcW w:w="57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Combinations with Interested Stockholders provisions of the NRS (NRS 78.411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unless an election to opt out is made, prohibit a Nevada corporation from engaging in a “business combination” (as such term is defined in NRS 78.416) with an “interested stockholder” (as such term is defined in NRS 78.423) for a period of at least three years after such person or entity became an interested stockholder unless certain conditions are met. The Proposed Organizational Documents provide that Etoiles Capital Nevada elects to not be subject to Combinations with Interested Stockholder provisions.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Controlling Interest provisions of the NRS (NRS 78.378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unless an election to opt out is made, restrict the voting of a “controlling interest” by an “acquiring person” as such term is defined in NRS 78.3783. A “controlling interest” is defined as acquisition of shares that allow the acquiring person to vote one-fifth or more but less than one-third, one-third but less than a majority, and a majority or more, of the outstanding voting power of the corporation, unless certain conditions are met. The Proposed Chater provides that Etoiles Capital Nevada elects to not be subject to the Acquisition of Controlling Interest provisions.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“Anti-Takeover Effects of Nevada Law” below.</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2" w:name="a_013"/>
      <w:bookmarkEnd w:id="12"/>
      <w:r>
        <w:rPr>
          <w:rFonts w:ascii="Times New Roman;Times;Serif" w:hAnsi="Times New Roman;Times;Serif"/>
          <w:b/>
          <w:i w:val="false"/>
          <w:caps w:val="false"/>
          <w:smallCaps w:val="false"/>
          <w:sz w:val="20"/>
        </w:rPr>
        <w:t>MANAGEMENT AND CORPORATE GOVERNANCE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business and affairs are organized under the direction of the Board. Mr. Cheung serves as the Chairperson of the Board. The primary responsibilities of the Board are to provide oversight, strategic guidance, counseling and direction to Etoiles Capital’s management. The Board meets on a regular basis and additionally as required.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Existing Organizational Documents, the Board may establish the authorized number of directors from time to time by resolution. The Board currently consists of four members with three-year terms. At each annual general meeting of shareholders, the successors to directors whose terms then expire will be elected to serve from the time of election and qualification until the third annual meeting following election. Etoiles Capital’s directors are Kit Shing, CHEUNG, Wesley CHU, Yeung Tak, CHEN and Nancy YANG, and their terms will expire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Board accepted the recommendation of the Nominating and Corporate Governance Committee of the Board (“Nominating Committee”) and voted to nominate Kit Shing, CHEUNG, Wesley CHU, Yeung Tak, CHEN and Nancy YANG for election at the annual general meeting for a term of three years to serve until the 2029 annual meeting of shareholders, and until their respective successors have been elected and qualified.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each of the directors is elected and the domestication proposal is approved, the members of the Board of Etoiles Capital Nevada will remain the same following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September 17, 2026. Additionally, information about the specific experience, qualifications, attributes or skills that led to the Board’s conclusion at the time of filing of this proxy statement/prospectus that each person listed below should serve as a director is set forth below:</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305" w:type="dxa"/>
        <w:jc w:val="left"/>
        <w:tblInd w:w="0" w:type="dxa"/>
        <w:tblLayout w:type="fixed"/>
        <w:tblCellMar>
          <w:top w:w="0" w:type="dxa"/>
          <w:left w:w="0" w:type="dxa"/>
          <w:bottom w:w="28" w:type="dxa"/>
          <w:right w:w="0" w:type="dxa"/>
        </w:tblCellMar>
      </w:tblPr>
      <w:tblGrid>
        <w:gridCol w:w="1700"/>
        <w:gridCol w:w="140"/>
        <w:gridCol w:w="350"/>
        <w:gridCol w:w="140"/>
        <w:gridCol w:w="597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59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 Chairman of the Board of Directors</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CHU </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Yeung Tak, CHEN</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YANG</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Nominees for Election for a Three-Year Term Expiring at the Company’s 2029 Annual Meeting of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Kit Shing, CHEUNG</w:t>
      </w:r>
      <w:r>
        <w:rPr>
          <w:rFonts w:ascii="Times New Roman;Times;Serif" w:hAnsi="Times New Roman;Times;Serif"/>
          <w:b w:val="false"/>
          <w:i w:val="false"/>
          <w:caps w:val="false"/>
          <w:smallCaps w:val="false"/>
          <w:sz w:val="20"/>
        </w:rPr>
        <w:t xml:space="preserve"> is a Director, Chief Executive Officer and Chair of the board of the Company. Mr. Cheung is responsible for the general corporate strategy, overall management of our operations and business expansion. Mr. Cheung has over 7 years of experience in business management. Mr. Cheung joined Etoiles Consultancy in September 2023 and has become our Chief Executive Officer since February 2025. Since 2021, Mr. Cheung has been a project manager and director of Everway Creation Limited. From 2016 to 2021, Mr. Cheung was a senior relation manager of Industrial Bank Co., Ltd. From August 2022 to June 2023, Mr. Cheung was an executive director of Future World Holdings Limited (HKEx: 00572), a company listed on the Stock Exchange of Hong Kong Limited. Mr. Cheung obtained a bachelor’s degree in science from the University of Toronto in 2015.</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Wesley CHU</w:t>
      </w:r>
      <w:r>
        <w:rPr>
          <w:rFonts w:ascii="Times New Roman;Times;Serif" w:hAnsi="Times New Roman;Times;Serif"/>
          <w:b w:val="false"/>
          <w:i w:val="false"/>
          <w:caps w:val="false"/>
          <w:smallCaps w:val="false"/>
          <w:sz w:val="20"/>
        </w:rPr>
        <w:t xml:space="preserve"> is an independent director of the Company. Mr. Chu has over ten years of experience in global supply chain management, logistics operations, and transportation strategy, with extensive expertise in managing complex international logistics networks for leading multinational technology companies. Since December 2022, Mr. Chu has been serving as a logistics execution manager at NVIDIA Corporation. From July 2018 to August 2022, Mr. Chu worked in Expeditors in San Francisco as a corporate account manager. From January 2015 to July 2018, Mr. Chu worked in Expeditors in Hong Kong as a local account manager. From January 2014 to January 2015, Mr. Chu worked in Expeditors in Hong Kong as agent of order management. Mr. Chu received a bachelor of global business systems management from City University of Hong Kong in 2013.</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Yeung Tak, CHEN</w:t>
      </w:r>
      <w:r>
        <w:rPr>
          <w:rFonts w:ascii="Times New Roman;Times;Serif" w:hAnsi="Times New Roman;Times;Serif"/>
          <w:b w:val="false"/>
          <w:i w:val="false"/>
          <w:caps w:val="false"/>
          <w:smallCaps w:val="false"/>
          <w:sz w:val="20"/>
        </w:rPr>
        <w:t xml:space="preserve"> is an independent director of the Company. Mr. Chen has over 15 years of experience in auditing, accounting, financial management, treasury, internal control, corporate governance, and company secretarial matters. He graduated from The Hong Kong Polytechnic University with a bachelor’s degree of arts in accountancy in December 2006. He has been a member of the Hong Kong Institute of Certified Public Accountants since January 2011 and was admitted as a fellow in September 2021. Mr. Chen is also a CPA (Practising) registered with the Accounting and Financial Reporting Council. From December 2017 to December 2021, he served as an independent non-executive director of AV Promotions Holdings Limited (HKEx: 8419), a company listed on the Stock Exchange of Hong Kong Limited. He is currently the company secretary of Kingland Group Holdings Limited (HKEx: 1751), a company listed on the Stock Exchange of Hong Kong Limited, and served as its executive director from May 2020 to June 2022. Mr. Chen also serves as an independent non-executive director of DT Capital Limited (HKEx: 356), WEIli Holdings Limited (HKEx: 2372), and Gain Plus Holdings Limited (HKEx: 9900), all of which being companies listed on the Stock Exchange of Hong Kong Limited. Additionally, he has been an independent director of Onion Global Limited, a company formerly listed on the New York Stock Exchange (NYSE: OG) and currently listed on the U.S. OTC Market (OTC: OGBLY) since March 2022.</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Nancy YANG</w:t>
      </w:r>
      <w:r>
        <w:rPr>
          <w:rFonts w:ascii="Times New Roman;Times;Serif" w:hAnsi="Times New Roman;Times;Serif"/>
          <w:b w:val="false"/>
          <w:i w:val="false"/>
          <w:caps w:val="false"/>
          <w:smallCaps w:val="false"/>
          <w:sz w:val="20"/>
        </w:rPr>
        <w:t xml:space="preserve"> is a director of the Company. Ms. Yang has over ten years of experience in the finance industry in the U.S. Since January 2018, Ms. Yang has been serving as director of finance at United States Veterans Initiative in Washington. From June 2016 to January 2018, Ms. Yang worked in Clover Integrations, Inc. as a business analyst. From December 2014 to June 2016, Ms. Yang worked in Commerzbank AG s a business analyst. From December 2013 to June 2014, Ms. Yang worked in Landesbank Baden-Wuerttemberg as a financial analyst. Ms. Yang received a bachelor of accounting and master of accounting from New York University in 2013. Ms. Yang is a U.S. citizen and resides in the U.S.</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Etoiles Capital Group Co., Ltd, either directly or indirectly. Based upon this review, the Board has determined that each of Wesley CHU, Yeung Tak, CHEN and Nancy YANG is an independent director under applicable SEC and the Nasdaq Stock Market LLC listing Nasdaq rules (the “Nasdaq Listing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Etoiles Capital’s directors or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and Prohibitions on Hedging and Pledging Company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and maintain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 The policy provides for trading blackouts and includes the procedures covered persons must follow before transacting in our securities including trading pre-clearance. A copy of the policy is filed as an exhibit to our Annual Report on Form 20-F for the year ended December 31, 2025.</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and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Meeting Attendance.</w:t>
      </w:r>
      <w:r>
        <w:rPr>
          <w:rFonts w:ascii="Times New Roman;Times;Serif" w:hAnsi="Times New Roman;Times;Serif"/>
          <w:b w:val="false"/>
          <w:i w:val="false"/>
          <w:caps w:val="false"/>
          <w:smallCaps w:val="false"/>
          <w:sz w:val="20"/>
        </w:rPr>
        <w:t> During the fiscal year ended December 31, 2025, there were two meetings of the Board, and the various committees of the Board met a total of two times. No director attended fewer than 75% of the total number of meetings of the Board and of committees of the Board on which he or she served during fiscal 2025. The Board has adopted a policy under which each member of the Board makes reasonable best efforts to attend each annual general meeting of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met two times during fiscal 2025. This committee currently has three members, Yeung Tak, CHEN, who serves as the chairperson, Wesley CHU and Nancy YANG. Raj K, THAKAR, our former independent director, served on the Audit Committee until October 2025. Qi, DING, our former independent director, also served on the Audit Committee during fiscal year 2025 until her term of service ended in July 2026. Heung Ping WONG, our former independent director, also served on the Audit Committee from November 2025 until his term of service ended on August 1, 2026. Each member of the Audit Committee qualifies as an independent director under the Nasdaq Listing Rules and the independence requirements of Rule 10A-3 under the Exchange Act. The Board has determined that Yeung Tak, CHEN qualifies as an “audit committee financial expert” as such term is defined in Item 407(d)(5) of Regulation S-K and possesses financial sophistication, as defined under the rules of the Nasdaq. Please also see the report of the Audit Committee set forth elsewhere in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283"/>
        <w:jc w:val="left"/>
        <w:rPr/>
      </w:pPr>
      <w:r>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bl>
    <w:p>
      <w:pPr>
        <w:pStyle w:val="TextBody"/>
        <w:bidi w:val="0"/>
        <w:spacing w:before="0" w:after="283"/>
        <w:jc w:val="left"/>
        <w:rPr/>
      </w:pPr>
      <w:r>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283"/>
        <w:jc w:val="left"/>
        <w:rPr/>
      </w:pPr>
      <w:r>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related-party transactions;</w:t>
            </w:r>
          </w:p>
        </w:tc>
      </w:tr>
    </w:tbl>
    <w:p>
      <w:pPr>
        <w:pStyle w:val="TextBody"/>
        <w:bidi w:val="0"/>
        <w:spacing w:before="0" w:after="283"/>
        <w:jc w:val="left"/>
        <w:rPr/>
      </w:pPr>
      <w:r>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Audit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met one time during fiscal 2025. Our Compensation Committee consists of Wesley CHU, who serves as the chairperson, Yeung Tak, CHEN and Nancy YANG. Raj K, THAKAR, our former independent director, served on the Compensation Committee until October 2025. Qi, DING, our former independent director, also served on the Compensation Committee during fiscal year 2025 until her term of service ended in July 2026. Heung Ping WONG, our former independent director, also served on the Compensation Committee from November 2025 until his term of service ended on August 1, 2026. All members of the Compensation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compensation for our chief executive officer and other executive officers;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our non-employee directors;</w:t>
            </w:r>
          </w:p>
        </w:tc>
      </w:tr>
    </w:tbl>
    <w:p>
      <w:pPr>
        <w:pStyle w:val="TextBody"/>
        <w:bidi w:val="0"/>
        <w:spacing w:before="0" w:after="283"/>
        <w:jc w:val="left"/>
        <w:rPr/>
      </w:pPr>
      <w:r>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incentive compensation or equity plans, programs, or similar arrangements;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Compensation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met one time during fiscal 2025 and has four members consisting of Nancy YANG, who serves as the chairperson, Wesley CHU and Yeung Tak, CHEN. Raj K, THAKAR, our former independent director, served on the Nominating Committee until October 2025. Qi, DING, our former independent director, also served on the Nominating Committee during fiscal year 2025 until her term of service ended in July 2026. Heung Ping WONG, our former independent director, also served on the Nominating Committee from November 2025 until his term of service ended on August 1, 2026. The Board has determined that all members of the Nominating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nominating and corporate governance committee is to assist the Board in discharging the responsibilities set forth in the Nominating Committee’s written charter and include: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the board nominees for election by the shareholders or appointment by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in regard to characteristics such as independence, knowledge, skills, experience, and diversity;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board meetings and monitoring the functioning of the committees of the board;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nominating and corporate governance committee, which is available on our website at https://ir.etoilesgroup.com/corporate-governance/documents-charters under Governance—Documents &amp; Charters.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Nominating Committee considers candidates recommended by other directors or officers, third party search firms or other appropriate sources. Once identified, the Nominating Committee will evaluate a candidate’s qualifications in accordance with a range of criteria. These criteria include but not limited to: personal integrity and sound judgment, business and professional skills and experience, independence, knowledge of our industry, possible conflicts of interest, 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wishes to propose a candidate for consideration as a nominee for election to the Board, it must follow the procedures described in the Existing Organizational Documents and in “</w:t>
      </w:r>
      <w:r>
        <w:rPr>
          <w:rFonts w:ascii="Times New Roman;Times;Serif" w:hAnsi="Times New Roman;Times;Serif"/>
          <w:b w:val="false"/>
          <w:i/>
          <w:caps w:val="false"/>
          <w:smallCaps w:val="false"/>
          <w:sz w:val="20"/>
        </w:rPr>
        <w:t>Stockholder Nominations and Proposals</w:t>
      </w:r>
      <w:r>
        <w:rPr>
          <w:rFonts w:ascii="Times New Roman;Times;Serif" w:hAnsi="Times New Roman;Times;Serif"/>
          <w:b w:val="false"/>
          <w:i w:val="false"/>
          <w:caps w:val="false"/>
          <w:smallCaps w:val="false"/>
          <w:sz w:val="20"/>
        </w:rPr>
        <w:t>” at the end of this proxy statement/prospectus. In general, persons recommended by shareholders may be considered. Any such recommendation should be made in writing to the Nominating Committee, care of our Corporate Secretary at our principal office and should be accompanied by the following information concerning each recommending shareholder and the beneficial owner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any, on whose behalf the nomination is made: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relating to such person that would be required to be disclosed in a proxy statement/prospectus;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and share ownership information about the shareholder and any other proponent, including a description of any derivative transactions in the Company’s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certain arrangements and understandings between the proposing shareholder and any beneficial owner and any other person in connection with such shareholder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whether or not either such shareholder or beneficial owner intends to deliver a proxy statement/prospectus and form of proxy to holders of voting shares sufficient to carry the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 must also be accompanied by the following information concerning the proposed nominee: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information concerning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concerning the proposed nominee required to be disclosed in solicitations of proxies for election of directors;</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information about any other security holder of the Company who supports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all relationships between the proposed nominee and the recommending shareholder or any beneficial owner, including any agreements or understandings regarding the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disclosures relating to shareholder nominees for directors, including completed questionnaires and disclosures required by the Existing Organizational Documents.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to oversee Etoiles Capital’s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pStyle w:val="TextBody"/>
        <w:shd w:fill="FFFFFF" w:val="clear"/>
        <w:bidi w:val="0"/>
        <w:spacing w:before="0" w:after="0"/>
        <w:ind w:left="0" w:right="0" w:firstLine="45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one individual serves in the positions of Chief Executive Officer and Chairman of the Board. We believe that our current leadership structure is optimal for the Company at this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independent members and one non-independent director, who is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to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shareholders who have questions or concerns should contact our Investor Relations team at +852-2398-8699. However, any shareholders who wish to address questions regarding our business directly with the Board, or any individual director, should direct his or her questions in writing to the Chairman of the Board at Unit 03-04, 25/F, Cosco Tower, 183 Queen’s Road Central, Sheung Wan, Hong Kong / to individual Board members via e-mail at ir@etoilesfin.com / using the “Resources – Contact Us” page of our website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will be distributed to the Board, or to any individual director or directors as appropriate, depending on the facts and circumstances outlined in the communications. Items that are unrelated to the duties and responsibilities of the Board may be excluded, such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junk mail and mass mailings;</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resumes and other forms of job inquiries;</w:t>
            </w:r>
          </w:p>
        </w:tc>
      </w:tr>
    </w:tbl>
    <w:p>
      <w:pPr>
        <w:pStyle w:val="TextBody"/>
        <w:bidi w:val="0"/>
        <w:spacing w:before="0" w:after="283"/>
        <w:jc w:val="left"/>
        <w:rPr/>
      </w:pPr>
      <w:r>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surveys; and</w:t>
            </w:r>
          </w:p>
        </w:tc>
      </w:tr>
    </w:tbl>
    <w:p>
      <w:pPr>
        <w:pStyle w:val="TextBody"/>
        <w:bidi w:val="0"/>
        <w:spacing w:before="0"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solicitations or advertisements.</w:t>
            </w:r>
          </w:p>
        </w:tc>
      </w:tr>
    </w:tbl>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that is unduly hostile, threatening, or illegal in nature may be excluded, in which case it will be made available to any outside director upon request.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the date of this registration statement regarding our executive officers who are not also directors. We have employment agreements with all of our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205"/>
        <w:gridCol w:w="140"/>
        <w:gridCol w:w="350"/>
        <w:gridCol w:w="140"/>
        <w:gridCol w:w="1940"/>
      </w:tblGrid>
      <w:tr>
        <w:trPr/>
        <w:tc>
          <w:tcPr>
            <w:tcW w:w="12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 Fai, TAM</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Zhihan, LOU</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4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 Fai, TAM</w:t>
      </w:r>
      <w:r>
        <w:rPr>
          <w:rFonts w:ascii="Times New Roman;Times;Serif" w:hAnsi="Times New Roman;Times;Serif"/>
          <w:b w:val="false"/>
          <w:i w:val="false"/>
          <w:caps w:val="false"/>
          <w:smallCaps w:val="false"/>
          <w:sz w:val="20"/>
        </w:rPr>
        <w:t xml:space="preserve"> is the Chief Financial Officer of the Company. Mr. Tam has over 18 years of experience in the accounting, financing and auditing industry. Mr. Tam has become our Chief Financial Officer since February 2025. Since April 2023, Mr. Tam has been a company secretary of WK Group (Holdings) Limited (HKEx: 02535), a company listed on the Stock Exchange of Hong Kong Limited. Since June 2020, Mr. Tam has been a director of Marksman Services Group Limited. Since October 2020, Mr. Tam has been a director of IPA CPA Limited. From December 2020 to February 2022, Mr. Tam was a company secretary of Sino Vision Worldwide Holdings Limited, a company formerly listed on the Stock Exchange of Hong Kong. From August 2019 to September 2024, Mr. Tam was an independent non-executive director of China Next-Gen Commerce and Supply Chain Limited (HKEx: 03928), a company listed on the Stock Exchange of Hong Kong Limited. From January 2012 to November 2022, Mr. Tam was an audit partner of CTY &amp; Co., a CPA firm. From September 2006 to August 2011, Mr. Tam worked in the audit department of Deloitte Touche Tohmatsu. Mr. Tam obtained a bachelor’s degree of business administration in accounting from the Hong Kong University of Science and Technology in 2006. Mr. Tam has been a member of the Hong Kong Institute of Certified Public Accountants since January 2010 and is currently a fellow member of the Hong Kong Institute of Certified Public Accountants.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Zhihan, LOU</w:t>
      </w:r>
      <w:r>
        <w:rPr>
          <w:rFonts w:ascii="Times New Roman;Times;Serif" w:hAnsi="Times New Roman;Times;Serif"/>
          <w:b w:val="false"/>
          <w:i w:val="false"/>
          <w:caps w:val="false"/>
          <w:smallCaps w:val="false"/>
          <w:sz w:val="20"/>
        </w:rPr>
        <w:t xml:space="preserve"> is the Chief Operating Officer of the Company. Mr. Lou has over 5 years of experience in public relations, investor relations and communications industry. Mr. Lou has become our Chief Operating Officer since February 2025. Since February 2024, Mr. Lou has been the general manager of Etoiles Financial. From October 2023 to February 2024, Mr. Lou served as a consultant of Valuable Capital Limited, a company engaged in strategic consulting. From November 2019 to October 2023, Mr. Lou served as a deputy director of Wonderful Sky Financial Group Limited, a company engaged in initial public offering consultation and financial public relation. Mr. Lou obtained a masters of arts degree in communication from the Hong Kong Baptist University and a bachelor’s degree of broadcasting from the Zhejiang University of Technology in 2017 and 2016, respectively.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a_014"/>
      <w:bookmarkEnd w:id="13"/>
      <w:r>
        <w:rPr>
          <w:rFonts w:ascii="Times New Roman;Times;Serif" w:hAnsi="Times New Roman;Times;Serif"/>
          <w:b/>
          <w:i w:val="false"/>
          <w:caps w:val="false"/>
          <w:smallCaps w:val="false"/>
          <w:sz w:val="20"/>
        </w:rPr>
        <w:t>EXECUTIVE COMPENSATION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Etoiles Capital’s NEOs were:</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Kit Shing, CHEUNG, Chief Executive Officer;</w:t>
            </w:r>
          </w:p>
        </w:tc>
      </w:tr>
    </w:tbl>
    <w:p>
      <w:pPr>
        <w:pStyle w:val="TextBody"/>
        <w:bidi w:val="0"/>
        <w:spacing w:before="0" w:after="283"/>
        <w:jc w:val="left"/>
        <w:rPr/>
      </w:pPr>
      <w:r>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 Fai, TAM, Chief Financial Officer; and</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Zhihan, LOU, Chief Operating Officer. </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compensation for the years ended December 31, 2025 and 2024 earned by, awarded to or paid to our NEOs.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35"/>
        <w:gridCol w:w="60"/>
        <w:gridCol w:w="530"/>
        <w:gridCol w:w="60"/>
        <w:gridCol w:w="60"/>
        <w:gridCol w:w="60"/>
        <w:gridCol w:w="800"/>
        <w:gridCol w:w="60"/>
        <w:gridCol w:w="60"/>
        <w:gridCol w:w="102"/>
        <w:gridCol w:w="443"/>
        <w:gridCol w:w="60"/>
        <w:gridCol w:w="60"/>
        <w:gridCol w:w="124"/>
        <w:gridCol w:w="541"/>
        <w:gridCol w:w="60"/>
        <w:gridCol w:w="60"/>
        <w:gridCol w:w="124"/>
        <w:gridCol w:w="541"/>
        <w:gridCol w:w="60"/>
        <w:gridCol w:w="60"/>
        <w:gridCol w:w="231"/>
        <w:gridCol w:w="1004"/>
        <w:gridCol w:w="60"/>
        <w:gridCol w:w="60"/>
        <w:gridCol w:w="231"/>
        <w:gridCol w:w="1004"/>
        <w:gridCol w:w="60"/>
        <w:gridCol w:w="60"/>
        <w:gridCol w:w="60"/>
        <w:gridCol w:w="800"/>
        <w:gridCol w:w="75"/>
      </w:tblGrid>
      <w:tr>
        <w:trPr/>
        <w:tc>
          <w:tcPr>
            <w:tcW w:w="26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Principal Position(s)</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Kit Shing, CHEUNG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 Fai, TAM</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Zhihan, LOU </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40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Cheung was appointed as Chief Executive Officer effective on February 17, 2025.</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Tam was appointed as Chief Financial Officer effective on February 17, 2025.</w:t>
            </w:r>
          </w:p>
        </w:tc>
      </w:tr>
    </w:tbl>
    <w:p>
      <w:pPr>
        <w:pStyle w:val="TextBody"/>
        <w:bidi w:val="0"/>
        <w:spacing w:before="0" w:after="283"/>
        <w:jc w:val="left"/>
        <w:rPr/>
      </w:pPr>
      <w:r>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Lou was appointed as Chief Operating Officer effective on February 17, 2025.</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w:t>
            </w:r>
          </w:p>
        </w:tc>
      </w:tr>
    </w:tbl>
    <w:p>
      <w:pPr>
        <w:pStyle w:val="TextBody"/>
        <w:bidi w:val="0"/>
        <w:spacing w:before="0" w:after="283"/>
        <w:jc w:val="left"/>
        <w:rPr/>
      </w:pPr>
      <w:r>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reward senior management in a manner aligned with our financial performance;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align senior management’s interests with our equity owners’ long-term interests through equity participation and ownership.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with respect to the compensation of our executive officers, including our named executive officers, are made by the Compensation Committee of the Board. Compensation for our executive officers has the following components: base salary, cash bonus opportunities, broad-based employee benefits, and severance benefits. Base salaries, broad-based employee benefits,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for our NEOs are subject to adjustments made by the Compensation Committee, including in connection with our annual review of our NEOs’ base salaries.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 Incentive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annual cash incentive bonuses for the NEOs to motivate their achievement of short-term performance goals and tie a portion of their cash compensation to performance. Following the end of each year, the Compensation Committee will determine the extent to which the performance targets were achieved and the amount of the award that is payable to the named executive officers.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55" w:type="dxa"/>
        <w:jc w:val="left"/>
        <w:tblInd w:w="0" w:type="dxa"/>
        <w:tblLayout w:type="fixed"/>
        <w:tblCellMar>
          <w:top w:w="0" w:type="dxa"/>
          <w:left w:w="0" w:type="dxa"/>
          <w:bottom w:w="28" w:type="dxa"/>
          <w:right w:w="0" w:type="dxa"/>
        </w:tblCellMar>
      </w:tblPr>
      <w:tblGrid>
        <w:gridCol w:w="2105"/>
        <w:gridCol w:w="60"/>
        <w:gridCol w:w="2285"/>
        <w:gridCol w:w="60"/>
        <w:gridCol w:w="102"/>
        <w:gridCol w:w="473"/>
        <w:gridCol w:w="60"/>
        <w:gridCol w:w="60"/>
        <w:gridCol w:w="87"/>
        <w:gridCol w:w="488"/>
        <w:gridCol w:w="75"/>
      </w:tblGrid>
      <w:tr>
        <w:trPr/>
        <w:tc>
          <w:tcPr>
            <w:tcW w:w="21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75" w:type="dxa"/>
            <w:tcBorders/>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Kit Shing,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4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Awards and Practices Related to the Grant of Certain Equity Awards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equity incentive plan in place as of the date of this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broad-based employee benefit plans, including medical, dental, vision, life and disability insurance and defined contribution to the Mandatory Provident Fund as required under the Mandatory Provident Fund Schemes Ordinance (Chapter 485 of the Laws of Hong Kong), paid vacation, sick leave and holidays.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descriptions of the employment agreements with each of our NEOs (the “Employment Agreements”) setting forth the terms and conditions of such executive’s employment with 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Kit Shing, CHEUNG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Cheung, pursuant to which he serves as Chief Executive Officer of the Company, Director and Chairman of the Board of Directors effective August 8, 2025. The agreement provides for a base salary of not less than US$153,840 per year. Mr. Cheung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 Fai, TAM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Tam, pursuant to which he serves as Chief Financial Officer of the Company, effective August 8, 2025. The agreement provides for a base salary of not less than US$36,000 per year. Mr. Tam,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Zhihan, LOU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Lou, pursuant to which he serves as Chief Operating Officer of the Company effective August 8, 2025. The agreement provides for a base salary of US$nil per year. Mr. Lou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Potential Payments upon Termination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for each of our NEOs, if the executive’s employment is terminated by the Company without Cause, the executive will receive (i) any earned but unpaid bonus for any prior completed fiscal year, payable when such payments would otherwise be paid, (ii) severance payments in the form of base salary continuation payable over the applicable post-termination severance period set forth under the Laws of Hong Kong, (iii) pro rata contribution to the Mandatory Provident Fund, and (iv) continued participation in the Company’s group health plan for the applicable post-termination severance period set forth in the table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 and Practices Related to the Grant of Certain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 outstanding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defined contribution to the Mandatory Provident Fund as required under the Mandatory Provident Fund Schemes Ordinance (Chapter 485 of the Laws of Hong Kong) for our eligible employees in Hong Kong. For an employee, subject to the maximum and minimum levels of income (set at HK$30,000 and HK$7,100 per month, respectively, as at the date of this prospectus), an employer will deduct 5% of the relevant income on behalf of an employee as mandatory contributions to a registered MPF scheme with a ceiling (set at HK$1,500 as at the date of this prospectus). The employer will also be required to contribute an amount equivalent to 5% of an employee’s relevant income to the MPF scheme, subject only to the maximum level of income (set at HK$30,000 as at the date of this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compensation paid or accrued during the fiscal year ended December 31, 2025 to each of our non-employee directors.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83" w:type="dxa"/>
        <w:jc w:val="left"/>
        <w:tblInd w:w="0" w:type="dxa"/>
        <w:tblLayout w:type="fixed"/>
        <w:tblCellMar>
          <w:top w:w="0" w:type="dxa"/>
          <w:left w:w="0" w:type="dxa"/>
          <w:bottom w:w="28" w:type="dxa"/>
          <w:right w:w="0" w:type="dxa"/>
        </w:tblCellMar>
      </w:tblPr>
      <w:tblGrid>
        <w:gridCol w:w="2225"/>
        <w:gridCol w:w="60"/>
        <w:gridCol w:w="84"/>
        <w:gridCol w:w="805"/>
        <w:gridCol w:w="60"/>
        <w:gridCol w:w="60"/>
        <w:gridCol w:w="687"/>
        <w:gridCol w:w="1087"/>
        <w:gridCol w:w="60"/>
        <w:gridCol w:w="60"/>
        <w:gridCol w:w="60"/>
        <w:gridCol w:w="560"/>
        <w:gridCol w:w="75"/>
      </w:tblGrid>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88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b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center"/>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Yeung Tak,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Wesley CHU</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Raj K, THAKAR</w:t>
            </w:r>
            <w:r>
              <w:rPr>
                <w:rFonts w:ascii="Times New Roman;Times;Serif" w:hAnsi="Times New Roman;Times;Serif"/>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r>
              <w:rPr>
                <w:rFonts w:ascii="Times New Roman;Times;Serif" w:hAnsi="Times New Roman;Times;Serif"/>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Heung Ping WONG</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r>
              <w:rPr>
                <w:rFonts w:ascii="Times New Roman;Times;Serif" w:hAnsi="Times New Roman;Times;Serif"/>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9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THAKAR served as an independent director of the Company until October 31, 2025.</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Ding served as an independent director of the Company until July 10, 2026.</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245"/>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Wong served as an independent director of the Company until August 1, 2026.</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4" w:name="a_015"/>
      <w:bookmarkEnd w:id="14"/>
      <w:r>
        <w:rPr>
          <w:rFonts w:ascii="Times New Roman;Times;Serif" w:hAnsi="Times New Roman;Times;Serif"/>
          <w:b/>
          <w:i w:val="false"/>
          <w:caps w:val="false"/>
          <w:smallCaps w:val="false"/>
          <w:sz w:val="20"/>
        </w:rPr>
        <w:t>EQUITY COMPENSATION PLAN INFORMATION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equity incentive plan in place for the years ended December 31, 2025 and 2024 and as of the date of this registration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a_016"/>
      <w:bookmarkEnd w:id="15"/>
      <w:r>
        <w:rPr>
          <w:rFonts w:ascii="Times New Roman;Times;Serif" w:hAnsi="Times New Roman;Times;Serif"/>
          <w:b/>
          <w:i w:val="false"/>
          <w:caps w:val="false"/>
          <w:smallCaps w:val="false"/>
          <w:sz w:val="20"/>
        </w:rPr>
        <w:t>REPORT OF AUDIT COMMITTEE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which consists entirely of directors who meet the independence and experience requirements of the Nasdaq Stock Market, has furnished the following report: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https://ir.etoilesgroup.com/corporate-governance/documents-charters. This committee reviews and reassesses our charter annually and recommends any changes to the Board for approval. The Audit Committee is responsible for overseeing our overall financial reporting process, and for the appointment, compensation, retention, and oversight of the work of SRCO, C.P.A., Professional Corporation. In fulfilling its responsibilities for the financial statements for fiscal year December 31, 2025, the Audit Committee took the following actions: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and discussed the audited financial statements for the fiscal year ended December 31, 2025 with management and SRCO, C.P.A., Professional Corporation, our independent registered public accounting firm;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Discussed with SRCO, C.P.A., Professional Corporation the matters required to be discussed in accordance with Auditing Standard No. 1301- </w:t>
            </w:r>
            <w:r>
              <w:rPr>
                <w:rFonts w:ascii="Times New Roman;Times;Serif" w:hAnsi="Times New Roman;Times;Serif"/>
                <w:i/>
                <w:sz w:val="20"/>
              </w:rPr>
              <w:t>Communications with Audit committees</w:t>
            </w:r>
            <w:r>
              <w:rPr>
                <w:rFonts w:ascii="Times New Roman;Times;Serif" w:hAnsi="Times New Roman;Times;Serif"/>
                <w:sz w:val="20"/>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written disclosures and the letter from SRCO, C.P.A., Professional Corporation regarding its independence as required by applicable requirements of the Public Company Accounting Oversight Board regarding SRCO, C.P.A., Professional Corporation’s communications with the Audit Committee and the Audit Committee further discussed with SRCO, C.P.A., Professional Corporation their independence. The Audit Committee also considered the status of pending litigation, taxation matters and other areas of oversight relating to the financial reporting and audit process that the committee determined appropriate.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SRCO, C.P.A., Professional Corporation, the Audit Committee recommended to the Board that the audited financial statements be included in our Annual Report on Form 20-F for the fiscal year ended December 31, 2025 for filing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Etoiles Capital Group Co., Ltd</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Yeung Tak, CHEN, Chair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YANG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Wesley CHU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6" w:name="a_017"/>
      <w:bookmarkEnd w:id="16"/>
      <w:r>
        <w:rPr>
          <w:rFonts w:ascii="Times New Roman;Times;Serif" w:hAnsi="Times New Roman;Times;Serif"/>
          <w:b/>
          <w:i w:val="false"/>
          <w:caps w:val="false"/>
          <w:smallCaps w:val="false"/>
          <w:sz w:val="20"/>
        </w:rPr>
        <w:t>SECURITY OWNERSHIP OF CERTAIN BENEFICIAL OWNERS AND MANAGEMENT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the Company regarding the beneficial ownership of the Company’s ordinary shares as of September 17, 2026 by:</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the Company to be the beneficial owner of more than 5% of the outstanding Company ordinary shares;</w:t>
            </w:r>
          </w:p>
        </w:tc>
      </w:tr>
    </w:tbl>
    <w:p>
      <w:pPr>
        <w:pStyle w:val="TextBody"/>
        <w:bidi w:val="0"/>
        <w:spacing w:before="0" w:after="283"/>
        <w:jc w:val="left"/>
        <w:rPr/>
      </w:pPr>
      <w:r>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Company’s executive officers and directors; and</w:t>
            </w:r>
          </w:p>
        </w:tc>
      </w:tr>
    </w:tbl>
    <w:p>
      <w:pPr>
        <w:pStyle w:val="TextBody"/>
        <w:bidi w:val="0"/>
        <w:spacing w:before="0" w:after="283"/>
        <w:jc w:val="left"/>
        <w:rPr/>
      </w:pPr>
      <w:r>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current executive officers and directors as a group.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September 17, 2026 are deemed outstanding for the purpose of computing the percentage ownership of the person holding those options but are not deemed outstanding for computing the percentage ownership of any other person.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Company ordinary shares is based on 15,110,000 Class A ordinary shares issued and outstanding as of September 17,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ordinary shares beneficially owned by them.</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32" w:type="dxa"/>
        <w:jc w:val="left"/>
        <w:tblInd w:w="0" w:type="dxa"/>
        <w:tblLayout w:type="fixed"/>
        <w:tblCellMar>
          <w:top w:w="0" w:type="dxa"/>
          <w:left w:w="0" w:type="dxa"/>
          <w:bottom w:w="0" w:type="dxa"/>
          <w:right w:w="0" w:type="dxa"/>
        </w:tblCellMar>
      </w:tblPr>
      <w:tblGrid>
        <w:gridCol w:w="4655"/>
        <w:gridCol w:w="60"/>
        <w:gridCol w:w="60"/>
        <w:gridCol w:w="1100"/>
        <w:gridCol w:w="60"/>
        <w:gridCol w:w="60"/>
        <w:gridCol w:w="60"/>
        <w:gridCol w:w="560"/>
        <w:gridCol w:w="60"/>
        <w:gridCol w:w="60"/>
        <w:gridCol w:w="164"/>
        <w:gridCol w:w="711"/>
        <w:gridCol w:w="130"/>
        <w:gridCol w:w="130"/>
        <w:gridCol w:w="130"/>
        <w:gridCol w:w="568"/>
        <w:gridCol w:w="60"/>
        <w:gridCol w:w="60"/>
        <w:gridCol w:w="106"/>
        <w:gridCol w:w="1008"/>
        <w:gridCol w:w="23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w:t>
              <w:br/>
              <w:t>Voting</w:t>
            </w:r>
          </w:p>
        </w:tc>
        <w:tc>
          <w:tcPr>
            <w:tcW w:w="230" w:type="dxa"/>
            <w:tcBorders/>
            <w:vAlign w:val="center"/>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r>
              <w:rPr>
                <w:rFonts w:ascii="Times New Roman;Times;Serif" w:hAnsi="Times New Roman;Times;Serif"/>
                <w:b/>
                <w:sz w:val="20"/>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Power</w:t>
            </w:r>
            <w:r>
              <w:rPr>
                <w:rFonts w:ascii="Times New Roman;Times;Serif" w:hAnsi="Times New Roman;Times;Serif"/>
                <w:b/>
                <w:position w:val="7"/>
                <w:sz w:val="16"/>
                <w:sz w:val="20"/>
              </w:rPr>
              <w:t>(2)</w:t>
            </w:r>
          </w:p>
        </w:tc>
        <w:tc>
          <w:tcPr>
            <w:tcW w:w="23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Zeneo Investment Limited</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none of our outstanding Shares are held by record holders in the United States.</w:t>
      </w:r>
    </w:p>
    <w:p>
      <w:pPr>
        <w:pStyle w:val="TextBody"/>
        <w:bidi w:val="0"/>
        <w:spacing w:before="0" w:after="0"/>
        <w:ind w:left="0"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2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the following entities or individuals is Unit 03-04, 25/F, Cosco Tower, 183 Queen’s Road Central, Sheung Wan, Hong Kong.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of ownership is based on 15,110,000 Ordinary Shares, consisting of 15,110,000 Class A Ordinary Shares outstanding of the date of this annual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pPr>
            <w:r>
              <w:rPr/>
              <w:t>Comprised of 10,287,000 Class A Ordinary Shares owned by Etoiles Zeneo Investment Limited, which entities are all wholly-owned by Mr. Kit Shing, CHEUNG, as of the date of this prospectus. Therefore, Mr. Kit Shing, CHEUNG has the voting and dispositive control over the shares held by each of these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7" w:name="a_018"/>
      <w:bookmarkEnd w:id="17"/>
      <w:r>
        <w:rPr>
          <w:rFonts w:ascii="Times New Roman;Times;Serif" w:hAnsi="Times New Roman;Times;Serif"/>
          <w:b/>
          <w:i w:val="false"/>
          <w:caps w:val="false"/>
          <w:smallCaps w:val="false"/>
          <w:sz w:val="20"/>
        </w:rPr>
        <w:t>CERTAIN RELATIONSHIPS AND RELATED PERSON TRANSACTIONS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Compensation— Employment Agreements”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customary indemnification agreements with our executive officers and directors that provide, in general, that we will provide them with customary indemnification in connection with their service to us or on our behalf.</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 In connection with the domestication, Etoiles Capital Nevada is expected to enter into new indemnification agreements with its executive officers and directors to provide contractual rights to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related party transactions of our company that occurred during the past three fiscal years up to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Amount (to) due from a director</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10"/>
        <w:gridCol w:w="60"/>
        <w:gridCol w:w="150"/>
        <w:gridCol w:w="350"/>
        <w:gridCol w:w="60"/>
        <w:gridCol w:w="60"/>
        <w:gridCol w:w="140"/>
        <w:gridCol w:w="755"/>
        <w:gridCol w:w="95"/>
        <w:gridCol w:w="60"/>
        <w:gridCol w:w="140"/>
        <w:gridCol w:w="800"/>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Kit Shing, CHEUNG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represents advanced to (by) a director. Amount due (to) from a director is non-trade, unsecured, non-interest bearing and repayable on demand.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Salaries paid related parties</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3095"/>
        <w:gridCol w:w="60"/>
        <w:gridCol w:w="140"/>
        <w:gridCol w:w="800"/>
        <w:gridCol w:w="60"/>
        <w:gridCol w:w="60"/>
        <w:gridCol w:w="140"/>
        <w:gridCol w:w="800"/>
        <w:gridCol w:w="60"/>
        <w:gridCol w:w="60"/>
        <w:gridCol w:w="140"/>
        <w:gridCol w:w="68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75" w:type="dxa"/>
            <w:tcBorders/>
            <w:vAlign w:val="center"/>
          </w:tcPr>
          <w:p>
            <w:pPr>
              <w:pStyle w:val="TableContents"/>
              <w:bidi w:val="0"/>
              <w:spacing w:before="0" w:after="283"/>
              <w:jc w:val="left"/>
              <w:rPr/>
            </w:pPr>
            <w:r>
              <w:rPr/>
              <w:t> </w:t>
            </w:r>
          </w:p>
        </w:tc>
      </w:tr>
      <w:tr>
        <w:trPr/>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Salary paid to a related party:</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25,545</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Ms. On Ki CHEUNG </w:t>
            </w:r>
            <w:r>
              <w:rPr>
                <w:rFonts w:ascii="Times New Roman;Times;Serif" w:hAnsi="Times New Roman;Times;Serif"/>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4055"/>
        <w:gridCol w:w="60"/>
        <w:gridCol w:w="175"/>
        <w:gridCol w:w="325"/>
        <w:gridCol w:w="60"/>
        <w:gridCol w:w="60"/>
        <w:gridCol w:w="175"/>
        <w:gridCol w:w="325"/>
        <w:gridCol w:w="60"/>
        <w:gridCol w:w="60"/>
        <w:gridCol w:w="175"/>
        <w:gridCol w:w="325"/>
        <w:gridCol w:w="75"/>
      </w:tblGrid>
      <w:tr>
        <w:trPr/>
        <w:tc>
          <w:tcPr>
            <w:tcW w:w="40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Rental expenses paid to a related party:</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 xml:space="preserve">(a)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1, 2025, the Company entered into a lease agreement with a director, Mr. Kit Shing CHEUNG, pursuant to which the Company leases a property to be used as a clubhouse for corporate and client engagement purposes.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commenced on August 1, 2025 and will expire on December 31, 2030. The lease was reviewed and approved by the independent and non-conflict members of the Board of Directors. The monthly rent is $34,917 was determined with reference to prevailing market rates for comparable commercial properties and represents, in management’s assessment, a fair market rate for the premises. The lease provides for a rent-free period from August 1, 2025, to December 31, 2025 to allow for renovation and interior decoration of the premise. Accordingly, no rental payments were made during this rent-free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clubhouse is currently undergoing renovation and interior decoration. As of December 31, 2025, the property was not yet ready for use and had not commenced operations. The up-front payment of $524,199 is recognized as construction in progress as of December 31, 2025. The Company expects the clubhouse to be completed and ready to provide services in February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360" w:right="0" w:hanging="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4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Kit Shing, CHEUNG is the director, Chief Executive Officer and a principal shareholder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On Ki, CHEUNG, is a close family member of a director, Mr. Kit Shing, CHEUNG.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 audit committee charter, which will require the committee to review all related party transactions on an ongoing basis and all such transactions be approved by the audit committee. In determining whether to approve a related party transaction, the audit committee shall consider, among other factors, the following factors to the extent relevant to the related party transaction: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terms of the related party transaction are fair to the Company and on the same basis as would apply if the transaction did not involve a related party;</w:t>
            </w:r>
          </w:p>
        </w:tc>
      </w:tr>
    </w:tbl>
    <w:p>
      <w:pPr>
        <w:pStyle w:val="TextBody"/>
        <w:bidi w:val="0"/>
        <w:spacing w:before="0" w:after="0"/>
        <w:ind w:left="108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there are business reasons for the Company to enter into the related party transaction;</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impair the independence of an outside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present an improper conflict of interest for any director or executive officer of the Company, taking into account the size of the transaction, the overall financial position of the director, executive officer or the related party, the direct or indirect nature of the director’s, executive officer’s or the related party’s interest in the transaction and the ongoing nature of any proposed relationship, and any other factors the audit committee deems relevant; and</w:t>
            </w:r>
          </w:p>
        </w:tc>
      </w:tr>
    </w:tbl>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pre-existing contractual obligations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Transaction” is a transaction, arrangement or relationship in which the Company or any of its subsidiaries was, is or will be a participant, the amount of which involved exceeds the lesser of (i) US$120,000,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 (i) any election by the Company pursuant to the Exchange Agreement to deliver any Cash Exchange Notice or make any Cash Exchange Payment (as such terms are defined in the Exchange Agreement) with any Related Person or any affiliate of any Related Person and (ii) any material amendment to the Exchange Agreement, are deemed to be related person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is: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is or was an executive officer, director, or director nominee of the Company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who is or was an Immediate Family Member (as defined below) of an executive officer, director, director nominee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the beneficial owner of more than 5% of any class of the Company’s voting securities (a “Significant Stockholder”);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an Immediate Family Member of a Significant Stockholder of the Company.</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related person’s interest in the transaction;</w:t>
            </w:r>
          </w:p>
        </w:tc>
      </w:tr>
    </w:tbl>
    <w:p>
      <w:pPr>
        <w:pStyle w:val="TextBody"/>
        <w:bidi w:val="0"/>
        <w:spacing w:before="0" w:after="283"/>
        <w:jc w:val="left"/>
        <w:rPr/>
      </w:pPr>
      <w:r>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involved in the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of the related person’s interest in the transaction without regard to the amount of any profit or loss;</w:t>
            </w:r>
          </w:p>
        </w:tc>
      </w:tr>
    </w:tbl>
    <w:p>
      <w:pPr>
        <w:pStyle w:val="TextBody"/>
        <w:bidi w:val="0"/>
        <w:spacing w:before="0" w:after="283"/>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was undertaken in the ordinary course of business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with the related person is proposed to be, or was, entered into on terms no less favorable to the Company than terms that could have been reached with an unrelated third party;</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of, and the potential benefits to the Company of, the transaction;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information regarding the transaction or the related person in the context of the proposed transaction that would be material to investors in light of the circumstances of the particular transaction.</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approve only those transactions that it determines are fair to the Company and in the Company’s best interests.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 w:name="a_019"/>
      <w:bookmarkEnd w:id="18"/>
      <w:r>
        <w:rPr>
          <w:rFonts w:ascii="Times New Roman;Times;Serif" w:hAnsi="Times New Roman;Times;Serif"/>
          <w:b/>
          <w:i w:val="false"/>
          <w:caps w:val="false"/>
          <w:smallCaps w:val="false"/>
          <w:sz w:val="20"/>
        </w:rPr>
        <w:t>DESCRIPTION OF SECURITIES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Etoiles Capital Nevada’s capital stock reflects Etoiles Capital Nevada’s capital stock as it will exist upon completion of the domestication, at the effective time of the domestication. Subject to the approval of the domestication proposal and the new charter proposal, at the effective time of the domestication Etoiles Capital Nevada’s capital stock will be governed by the Proposed Charter and Proposed Bylaws and the NRS. This description is a summary and is not complete. We urge you to read in their entirety Etoiles Capital Nevada’s Proposed Organizational Documents, which, subject to the approval of the domestication proposal and the new charter proposal, will be in effect at the effective time of the domestication and are attached to this proxy statement/prospectus as Annexes B and C. The following summary should be read in conjunction with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authorizes the issuance of 450,000,000 shares of capital stock, par value US$0.0001 per share. All issued and outstanding shares of capital stock of Etoiles Capital Nevada in connection with domestication will be, duly authorized, validly issued, fully paid and non-assessable. As of the record date for the annual general meeting, there were (1) 15,110,000 shares of Class A ordinary shares of Etoiles Capital issued and outstanding held by approximately 734  holders of record and 0 share of Class B ordinary shares of Etoiles Capital issued and outstanding held by 0 holder of record and (2) no shares of Etoiles Capital’s preferred stock outstanding. Such numbers do not include DTCC participants or beneficial owners holding shares through nominee names.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there will be approximately 15,110,000 shares of Common Stock outstanding. All shares of Common Stock to be issued in connection with the domestication will be validly issued, fully paid and non-assessable.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shares of Common Stock is entitled to one vote for each share of Common Stock held of record by such holder on all matters on which stockholders generally are entitled to vote. The holders of the shares of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Proposed Charter or any applicable law. Notwithstanding the foregoing, the holders of the outstanding shares of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(in addition to any other class vote required by applicable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preferences that may be applicable to any shares of preferred stock then outstanding, the holders of shares of common stock are entitled to receive ratably such dividends, if any, as may be declared from time to time by the board of directors of Etoiles Capital Nevada out of assets of Etoiles Capital Nevada legally available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upon Liquidation, Dissolution and Winding-Up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the event of any voluntary or involuntary liquidation, dissolution or winding up of Etoiles Capital Nevada’s affairs, after payment of Etoiles Capital Nevada’s debts and other liabilities, and of preferential and other amounts, if any, to which the holders of preferred stock are entitled, if any, the holders of the shares of Common Stock are entitled to (i) receive, an amount per share equal to the par value thereof, and (ii) thereafter, to share ratably in all assets remaining and available for distribution.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Common Stock have no preemptive or conversion rights or other subscription rights (other than in connection with certain issuances of common units under the limited liability company agreement of Etoiles Capital Holdings). There are no redemption or sinking fund provisions applicable to the shares of Common Stock. The rights, preferences and privileges of holders of shares of Common Stock will be subject to those of the holders of any shares of preferred stock Etoiles Capital Nevada may issue in the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Proposed Charter and the Proposed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Proposed Charter and the Proposed Bylaws, as described below, could have the effect of delaying, deterring or preventing another party from acquiring or seeking to acquire control of Etoiles Capital Nevada. These provisions are intended to discourage certain types of coercive takeover practices and inadequate takeover bids and to encourage anyone seeking to acquire control of us to negotiate first with the board of directors. However, these provisions may also delay, deter or prevent a change in control or other takeover of Etoiles Capital Nevada that stockholders of Etoiles Capital Nevada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Etoiles Capital Nevada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and the Proposed Bylaws provide that, special meetings of Etoiles Capital Nevada’s stockholders may be called only by the chairperson of the board of directors of Etoiles Capital Nevada, the chief executive officer, the president, or at the direction of the board pursuant to a written resolution adopted by a majority of the total number of directors that Etoiles Capital Nevada would have if there were no vacancies.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may generally be altered, amended or repealed, and new bylaws of Etoiles Capital Nevada may be adopted, by:</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majority of the Board;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of at least at least a majority of the voting power of all of the then-outstanding shares of the capital stock of Etoiles Capital Nevada entitled to vote thereon, voting together as a single class.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requires that Etoiles Capital Nevada indemnify (and advance expenses to) its directors and officers to the fullest extent permitted by the NRS. The NRS and certain provisions of our Proposed Organizational Documents under certain circumstances provide for indemnification of our officers, directors, and other agents against liabilities that they may incur in such capacities. A summary of the circumstances in which such indemnification is provided for is contained herein, but this description is qualified in its entirety by reference to our Proposed Organizational Documents and to the statutory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officer, director, employee, or agent may be indemnified against expenses, fines, settlements, or judgments arising in connection with a legal proceeding to which such person is a party, if that person’s actions were in good faith, were believed to be in our best interest, and were not unlawful. Unless such person is successful upon the merits in such an action, indemnification may be awarded only after a determination by independent decision of our board of directors, by legal counsel, or by a vote of our stockholders, that the applicable standard of conduct was met by the person to be indemnified.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circumstances under which indemnification is granted in connection with an action brought on our behalf is generally the same as those set forth above; however, with respect to such actions, indemnification is granted only with respect to expenses actually incurred in connection with the defense or settlement of the action. In such actions, the person to be indemnified must have acted in good faith and in a manner believed to have been in our best interest and have not been adjudged liable for negligence or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and particularly as provide in NRS 78.138(7), our Proposed Charter eliminates liability of our directors to us or our stockholders for monetary damages for breach of a director’s fiduciary duty as a director. Generally, NRS 78.138(7), subject to stated exceptions, eliminates the liability of a director or officer as a result of any act or failure to act (a) if the presumption that the director or officer acted in good faith on an informed basis and with a view to the interests of the corporation is rebutted; and (b)(i) it is proven that the director’s or officer’s act or failure to act constituted a breach of the fiduciary duty of the director or officer and (ii) such breach involved intentional misconduct, fraud, or a knowing violation of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of the Proposed Bylaws contains an exclusive forum provision. Unless Etoiles Capital Nevada consents in writing to the selection of an alternative forum, the Proposed Bylaws designate a state court located within the State of Nevada (or, if no state court located within the State of Nevada has jurisdiction, the federal district court for the District of Nevada) as the sole and exclusive forum for: (i) any derivative action or proceeding brought on behalf of Etoiles Capital Nevada; (ii) any action asserting a claim of breach of a fiduciary duty owed by any director, officer or other employee of Etoiles Capital Nevada to Etoiles Capital Nevada or its stockholders; (iii) any action asserting a claim against Etoiles Capital Nevada or any of its directors, officers or other employees arising pursuant to any provision of Chapter 78 or Chapter 92A of the NRS, the Proposed Charter or the Proposed Bylaws; and (iv) any action asserting a claim against Etoiles Capital Nevada or any of its directors, officers or other employees governed by the internal affairs doctrine. We refer to this as the “Nevada forum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and unless Etoiles Capital Nevada consents in writing to the selection of an alternative forum, Article X of the Proposed Bylaws provides that the federal district courts of the United States will, to the fullest extent permitted by law, be the sole and exclusive forum for the resolution of any complaint asserting a cause of action arising under the Securities Act. We refer to this as the “federal forum provision.” Section 22 of the Securities Act creates concurrent jurisdiction in federal and state courts over all claims brought to enforce any duty or liability created by the Securities Act or the rules and regulations thereunder, and the federal forum provision is intended to require that such claims be brought only in federal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provision in Article X of the Proposed Bylaws does NOT apply to any action asserting a claim arising under the Exchange Act, including any direct action brought by a stockholder to enforce rights or duties created by the Exchange Act, or to any other claim for which the federal courts of the United States have exclusive jurisdiction. Section 27 of the Exchange Act provides that the federal district courts of the United States have exclusive jurisdiction of violations of the Exchange Act and the rules and regulations thereunder, and of all suits in equity and actions at law brought to enforce any liability or duty created by the Exchange Act or the rules and regulations thereunder. Accordingly, the Nevada forum provision cannot and does not apply to Exchange Act claims, and stockholders asserting Exchange Act claims may bring those claims in federal district court. Article X of the Proposed Bylaws has been revised to state this exclusion expressly.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capital stock of Etoiles Capital Nevada will be deemed, to the fullest extent permitted by law, to have notice of and to have consented to the exclusive forum provision in Article X of the Proposed Bylaws. Nevada law expressly permits forum-selection provisions of this kind: NRS 78.046 authorizes the articles of incorporation or bylaws of a Nevada corporation to require that “internal actions” be brought solely or exclusively in specified courts that include at least one Nevada court, and, to the extent not inconsistent with any applicable jurisdictional requirements and the laws of the United States, to require that certain “concurrent jurisdiction actions” asserting a federal-law cause of action be brought solely or exclusively in specified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nevertheless uncertainty as to whether a court would enforce the exclusive forum provision. Forum-selection provisions are generally reviewed by courts for reasonableness and fundamental fairness, and a court may decline to enforce such a provision where it determines that enforcement would be unreasonable or unjust, would contravene a strong public policy of the forum in which suit is brought, or would for all practical purposes deprive the plaintiff of its day in court. A court could also determine that the provision is inapplicable to a particular claim or action, or is unenforceable in whole or in part. In addition, notwithstanding the federal forum provision, a court could decline to enforce that provision with respect to Securities Act claims in light of the concurrent jurisdiction conferred by Section 22 of the Securities Act. If a court were to find the exclusive forum provision, or any part of it, inapplicable or unenforceable, Etoiles Capital Nevada may incur additional costs associated with resolving the dispute in other jurisdictions, which could adversely affect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investors cannot waive, and will not be deemed to have waived, compliance with the federal securities laws and the rules and regulations thereunder. Section 14 of the Securities Act provides that any condition, stipulation or provision binding any person acquiring any security to waive compliance with any provision of the Securities Act or the rules and regulations of the SEC is void, and Section 29(a) of the Exchange Act provides that any condition, stipulation or provision binding any person to waive compliance with any provision of the Exchange Act or any rule or regulation thereunder is void. The exclusive forum provision in Article X of the Proposed Bylaws is not intended to, and does not, operate as a waiver of compliance with the federal securities laws or the rules and regulations thereunder.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Nevada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Share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provisions of NRS 78.378 to NRS 78.3793, inclusive, apply to “issuing corporations” that are Nevada corporations with at least 200 stockholders, including at least 100 stockholders of record who are Nevada residents, and that conduct business directly or indirectly in Nevada. The control share statute prohibits an acquirer, under certain circumstances, from voting its shares of a target corporation’s stock after crossing certain ownership threshold percentages, unless the acquirer obtains approval of the target corporation’s disinterested stockholders. The statute specifies three thresholds: one-fifth or more but less than one-third, one-third but less than a majority, and a majority or more, of the outstanding voting 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elect to not be governed by, or “opt out” of, the control share provisions by making an election in its articles of incorporation or bylaws, provided that the opt-out election must be in place on the 10th day following the date an acquiring person has acquired a controlling interest, that is, crossing any of the three thresholds described above. We have opted out of the control share statutes in both our Proposed Charter and Proposed Bylaws and will be subject to these statutes if we are an “issuing corporation” as defined in such statutes, unless the opt-out elections are removed on or before the 10th day following the date an acquiring person has acquired a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provisions of NRS 78.411 to NRS 78.444, inclusive, generally prohibit a Nevada corporation with at least 200 stockholders, a “resident domestic corporation,” from engaging in various “combination” transactions with any interested stockholder for a period of two years after the date of the transaction in which the person became an interested stockholder, unless the transaction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Such prohibition extends beyond the expiration of the two-year period, unless: (a) the combination was approved by the board of directors prior to the person becoming an interested stockholder or the transaction by which the person first became an interested stockholder was approved by the board of directors before the person became an interested stockholder or the combination is later approved by a majority of the voting power held by disinterested stockholders; or (b)the combination meets specified statutory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 may opt out of the business combinations provisions of the NRS by making an election to do so in its original articles of incorporation, by adopting an amendment to its articles of incorporation that is approved by the affirmative vote of holders of stock representing a majority of the outstanding voting power of the resident domestic corporation not beneficially owned by interested stockholders or their affiliates, or whose articles of incorporation were amended to contain a provision expressly electing not to be governed by the business combinations statutes before the date the corporation first became a resident domestic corporation. We have opted out of the business combinations statutes in our Proposed Charter and will not be subject to these statutes if we are a resident domestic corporation as defined in the NRS unless the opt-out provision is later removed from our Proposed Charter.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will be VStock Transfer, LLC.</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will be listed on the Nasdaq Capital Market under the symbol “EFTY.”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9" w:name="a_020"/>
      <w:bookmarkEnd w:id="19"/>
      <w:r>
        <w:rPr>
          <w:rFonts w:ascii="Times New Roman;Times;Serif" w:hAnsi="Times New Roman;Times;Serif"/>
          <w:b/>
          <w:i w:val="false"/>
          <w:caps w:val="false"/>
          <w:smallCaps w:val="false"/>
          <w:sz w:val="20"/>
        </w:rPr>
        <w:t>MATERIAL U.S. FEDERAL INCOME TAX CONSIDERATIONS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a discussion of material U.S. federal income tax considerations of the domestication generally applicable to holders of Etoiles Capital Class A ordinary shares. This section applies only to holders that hold their Class A ordinary shares as capital assets for U.S. federal income tax purposes (generally, property held for investment). 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in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taxpayer that elects to use a mark-to-market method of accounting,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subchapter S corporation,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grantor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holding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life insurance company, real estate investment trust or regulated investment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liable for alternative minimum tax,</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 or former long-term resident of the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actually or constructively owns 5% or more of Etoiles Capital stock (by vote or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for U.S. federal income tax purposes, or a beneficial owner of a partnership,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Etoiles Capital securities as part of a straddle or a hedging or conversion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whose functional currency is not the U.S. dollar,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received Etoiles Capital securities as compensation for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passive foreign investment company.</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U.S. Internal Revenue Code of 1986, as amended (the “Code”), proposed, temporary and final Treasury Regulations promulgated under the Code (the “Treasury Regulations”),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for example, estate or gift taxes or the Medicare tax on investment income), nor does it address any aspects of U.S. state or local or non-U.S. taxation.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do not intend to seek any rulings from the U.S. Internal Revenue Service (the “IRS”) regarding the domestication. There can be no assurance that the IRS will not take positions concerning the tax consequences of the transactions that are inconsistent with the considerations discussed below or that any such positions would not be sustained by a court.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U.S. federal income tax purposes holds Etoiles Capital Class A ordinary shares or Common Stock, the tax treatment of such partnership and a partner of such partnership will generally depend on the status of the partner and the activities of the partnership. Partnerships holding any Etoiles Capital Class A ordinary shares or Common Stock, and persons that are treated as partners of such partnerships should consult their tax advisors as to the particular U.S. federal income tax consequences of the domestication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IS FOR INFORMATIONAL PURPOSES ONLY. ALL SHAREHOLDERS SHOULD CONSULT THEIR TAX ADVISORS REGARDING THE TAX CONSEQUENCES OF THE DOMESTICATION INCLUDING THE EFFECTS OF U.S. FEDERAL, STATE AND LOCAL AND NON-U.S. TAX LAWS.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prior the domestication, a beneficial owner of Etoiles Capital Class A ordinary shares or, after the domestication, a beneficial owner of Etoiles Capital Nevada Common Stock, as the case may be,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treated as a corporation for U.S. federal income tax purposes) created or organized in or under the laws of the U.S. or any state thereof (including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Domestication on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for the domestication to qualify as a Reorganization. However, U.S. federal income tax rules regarding Reorganizations are complex and there is no assurance that the domestication will qualify as a Reorganization. U.S. Holders will be treated for U.S. federal income tax purposes as having exchanged their Etoiles Capital Class A ordinary shares for Etoiles Capital Nevada Common Stock. Assuming the domestication qualifies as a Reorganization, (i) U.S. Holders generally would not recognize gain or loss on the domestication for U.S. federal income tax purposes, except as provided below under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PFIC Considerations</w:t>
      </w:r>
      <w:r>
        <w:rPr>
          <w:rFonts w:ascii="Times New Roman;Times;Serif" w:hAnsi="Times New Roman;Times;Serif"/>
          <w:b w:val="false"/>
          <w:i w:val="false"/>
          <w:caps w:val="false"/>
          <w:smallCaps w:val="false"/>
          <w:sz w:val="20"/>
        </w:rPr>
        <w:t>,” (ii) the initial tax basis of a new share of Etoiles Capital Nevada Common Stock deemed received by a U.S. Holder in the domestication would equal the U.S. Holder’s tax basis in the Etoiles Capital Class A ordinary share deemed surrendered in exchange thereof, increased by any amount included in the income of such U.S. Holder as a result of Section 367 of the Code — see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(iii) the holding period for a new share of Common Stock deemed received by a U.S. Holder would include such Holder’s holding period for the Class A ordinary share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Etoiles Capital Class A ordinary shares for shares of Etoiles Capital Nevada Common Stock generally will recognize gain or loss equal to the difference between (i) the sum of the fair market value of the Common Stock deemed received and (ii) the U.S. Holder’s adjusted tax basis in the Class A ordinary shares deemed surrendered. In such event, such U.S. Holder’s basis in the shares of Class A ordinary shares would be equal to their fair market value on the date of the domestication, and such U.S. Holder’s holding period for its Class A ordinary shares would begin on the day following the date of the domestication. Holders who hold different blocks of Class A ordinary shares (generally, Class A ordinary shares purchased or acquired on different dates or at different prices) should consult their tax advisors to determine how the above rules apply to them.</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a U.S. Holder generally would be required to include in gross income the amount of any distribution of cash or other property paid on the Etoiles Capital Nevada Common Stock (See “</w:t>
      </w:r>
      <w:r>
        <w:rPr>
          <w:rFonts w:ascii="Times New Roman;Times;Serif" w:hAnsi="Times New Roman;Times;Serif"/>
          <w:b w:val="false"/>
          <w:i/>
          <w:caps w:val="false"/>
          <w:smallCaps w:val="false"/>
          <w:sz w:val="20"/>
        </w:rPr>
        <w:t>Distributions on Shares of Etoiles Capital Nevada Common Stock</w:t>
      </w:r>
      <w:r>
        <w:rPr>
          <w:rFonts w:ascii="Times New Roman;Times;Serif" w:hAnsi="Times New Roman;Times;Serif"/>
          <w:b w:val="false"/>
          <w:i w:val="false"/>
          <w:caps w:val="false"/>
          <w:smallCaps w:val="false"/>
          <w:sz w:val="20"/>
        </w:rPr>
        <w:t>” below). A distribution on such shares generally would be treated as U.S. source dividend income for U.S. federal income tax purposes to the extent the distribution is paid out of our current or accumulated earnings and profits (as determined under U.S. federal income tax principles). Such amount would be includible in gross income by a U.S. Holder on the date that such U.S. Holder actually or constructively receives the distribution in accordance with such U.S. Holder’s regular method of accounting for U.S. federal income tax purposes. Dividends paid by us to a corporate U.S. Holder would be eligible for the dividends-received deduction generally allowed to domestic corporations in respect of dividends received from other domestic corporations. With respect to non-corporate U.S. Holders, such dividends generally would be taxed at the lower applicable capital gains 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Section 367 to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367 of the Code applies to certain non-recognition transactions involving foreign corporations, including a domestication of a foreign corporation in a Reorganization. Section 367 of the Code generally gives rise to gain recognition or other income inclusions with respect to certain U.S. persons in connection with transactions that would otherwise be non-recognition transactions for U.S. federal income tax purposes. Section 367(b) of the Code will generally apply to U.S. Holders of Etoiles Capital Class A ordinary shares at the time of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8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0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10 Percent or More of Etoiles Capital</w:t>
            </w:r>
          </w:p>
        </w:tc>
      </w:tr>
    </w:tbl>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10% or more of the total combined voting power of all classes of Etoiles Capital stock entitled to vote (a “U.S. Shareholder”) must include in income as a dividend the “all earnings and profits amount” attributable to the Etoiles Capital Class A ordinary shares it directly owns, within the meaning of Treasury Regulations under Section 367 of the Code. A U.S. Holder’s ownership of warrants and stock options will be taken into account in determining whether such holder owns 10% or more of the total combined voting power of all classes of stock. Complex attribution rules apply in determining whether a U.S. Holder owns 10% or more of the total combined voting power of all classes of Etoiles Capital stock entitled to vote and all U.S. Holders are urged to consult their tax advisors with respect to these attribution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Shareholder’s “all earnings and profits amount” with respect to its Etoiles Capital Class A ordinary shares is the net positive earnings and profits of Etoiles Capital (as determined under Treasury Regulations under Section 367 of the Code) attributable to the shares (as determined under Treasury Regulations under Section 367 of the Code) but without regard to any gain that would be realized on a sale or exchange of such shares.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As a result, such U.S. Shareholders described above generally should be required to include in gross income an “all earnings and profits amount” with respect to its Etoiles Capital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8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51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Less Than 10 Percent of Etoiles Capital</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Etoiles Capital Class A ordinary shares with a fair market value of $50,000 or more but less than 10% of the total combined voting power of all classes of Etoiles Capital stock entitled to vote will recognize gain (but not loss) with respect to the domestication or, in the alternative, may elect to recognize the “all earnings and profits” amount attributable to such holder as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U.S. Holder makes the “all earnings and profits” election as described below, such holder generally must recognize gain (but not loss) with respect to Etoiles Capital Nevada Common Stock received in the domestication in an amount equal to the excess of the fair market value of the Common Stock received over the U.S. Holder’s adjusted tax basis in the Class A ordinary shares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recognizing any gain as described in the preceding paragraph, a U.S. Holder may elect to include in income the “all earnings and profits amount” attributable to its Class A ordinary shares under Section 367(b) of the Code. There are, however, strict conditions for making this election. Such U.S. Holders should consult their tax advisors as to the requirements of the election, and the particular U.S. federal income tax consequences of the election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Accordingly, U.S. Holders who make this election should generally have an income inclusion under Section 367(b) of the Code provided the U.S. Holder properly executes the election and complies with the applicable notice requirements.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 ARE STRONGLY URGED TO CONSULT A TAX ADVISOR REGARDING THE CONSEQUENCES OF MAKING AN ELECTION AND THE APPROPRIATE FILING REQUIREMENTS WITH RESPECT TO AN ELECTION.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0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Etoiles Capital Class A Ordinary Shares with a Fair Market Value of Less Than $50,000</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owns (or is considered to own) stock of Etoiles Capital with a fair market value less than $50,000 should not be required to recognize any gain or loss under Section 367 of the Code in connection with the domestication, and generally should not be required to include any part of the “all earnings and profits amount” in income.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U.S. Holders are urged to consult their tax advisors with respect to the effect of Section 367 of the Code to their particular circumstances.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discussion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the domestication could be a taxable event to U.S. Holders under the passive foreign investment company (“PFIC”) provisions of the Code.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18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5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PFIC Status of Etoiles Capital</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Etoiles Capital will be a PFIC with respect to a U.S. Holder if, for any taxable year in which such holder held Etoiles Capital Class A ordinary shares, (a) at least 75% or more of Etoiles Capital’s gross income for the taxable year was passive income or (b) at least 50% or more of the value, determined on the basis of a quarterly average, of Etoiles Capital’s assets is attributable to assets that produce or are held to produce passive income. Passive assets are those which give rise to passive income, and may include assets held for investment, as well as cash, assets readily convertible into cash, and working capital. Passive income generally includes dividends, interest, rents and royalties, but excludes rents and royalties that are derived in the active conduct of a trade or business and that are received from an unrelated person, as well as annuities and gains from assets that produce passive income. Etoiles Capital’s goodwill and other unbooked intangibles are taken into account and may be classified as active or passive depending upon the relative amounts of income generated by Etoiles Capital in each category.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for any taxable year (or portion thereof) that is included in the holding period of a U.S. Holder of our Class A ordinary shares, such U.S. Holder may be subject to adverse U.S. federal income tax consequences and may be subject to additional reporting requirements. Whether Etoiles Capital is treated as a PFIC for U.S. federal income tax purposes is a factual determination that must be made annually at the close of each taxable year and, thus, is subject to significant uncertainty.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other taxable years. Furthermore, fluctuations in the market price of our Class A ordinary shares m ay cause us to be a PFIC for the current or other taxable years because the value of our assets for purposes of the asset test, including the value of our goodwill and unbooked intangibles, may be determined by reference to the market price of our Class A ordinary shares from time to time (which may be volatile). Among other matters, if our market capitalization is less than anticipated or subsequently declines, we may be or become a PFIC for the current or other taxable years. The composition of our income and assets may also be affected by how, and how quickly, we use our liquid assets and the cash raised in securities offerings.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8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35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Effects of PFIC Rules on the Domestication</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or if gain recognition under Section 1291(f) of the Code is effective even in the absence of final Treasury Regulations, those regulations may require taxable gain recognition in the domestication if Etoiles Capital were a PFIC at any time during such U.S. Holder’s holding period in such stock and the U.S. Holder had not made a QEF Election (as described below) for the first taxable year in which the U.S. Holder owned Etoiles Capital Class A ordinary shares or in which Etoiles Capital was a PFIC, whichever is later or a mark-to-market election (as described below). The tax on any such recognized gain would be imposed based on a complex set of computational rules designed to offset the tax deferral with respect to the undistributed earnings of Etoiles Capital.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jc w:val="center"/>
        <w:rPr/>
      </w:pPr>
      <w:r>
        <w:rPr/>
        <w:t> </w:t>
      </w:r>
    </w:p>
    <w:p>
      <w:pPr>
        <w:pStyle w:val="TextBody"/>
        <w:bidi w:val="0"/>
        <w:spacing w:before="0" w:after="283"/>
        <w:jc w:val="left"/>
        <w:rPr/>
      </w:pPr>
      <w:r>
        <w:rPr/>
        <w:t> </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Under these rules: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would be allocated ratably over the U.S. Holder’s holding period for such holder’s Etoiles Capital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Etoiles Capital was a PFIC, would be taxed as ordinary income;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holder’s holding period would be taxed at the highest tax rate in effect for that year applicable to the U.S. Holder;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would be imposed in respect of the tax attributable to each such other taxable year of the U.S. Holder.</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“all earnings and profits amount” included in income by a U.S. Holder as a result of the domestication (discussed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generally would be treated as gain subject to these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proposed regulation issued under the PFIC rules generally treats an “option” to acquire the stock of a PFIC as stock of the PFIC, while a final regulation issued under the PFIC rules provides that the holder of an option is not entitled to make a QEF election with respect to the option. It is difficult to predict whether, in what form and with what effective date, final Treasury Regulations under Section 1291(f) of the Code will be adopted if at all, and, further, whether the IRS would take the position that Section 1291(f) of the Code is effective in the absence of final Treasury Regulations. Therefore, U.S. Holders of Etoiles Capital Class A ordinary shares that have not made a timely QEF Election or a mark-to-market election (as described below) may, pursuant to the proposed Treasury Regulations, be subject to taxation on the domestication to the extent their shares have a fair market value in excess of their tax basis. An Electing Shareholder (as described below) generally would not be subject to the adverse PFIC rules discussed above but rather would include annually in gross income its pro rata share of the ordinary earnings and net capital gain of Etoiles Capital, whether or not such amounts are actually distributed.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0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3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Impact of PFIC Rules on U.S. Holders</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Etoiles Capital Class A ordinary shares will depend on whether the U.S. Holder has made a timely and effective election to treat Etoiles Capital as a “qualified electing fund” under Section 1295 of the Code for the tax year that is the first year in the U.S. Holder’s holding period of Class A ordinary shares during which Etoiles Capital qualified as a PFIC (a “QEF Election”). A U.S. Holder’s ability to make a QEF Election with respect to Etoiles Capital is contingent upon, among other things, the provision by Etoiles Capital of a “PFIC Annual Information Statement” to such U.S. Holder. We do not intend to provide to a U.S. Holder such information as the IRS may require in order to enable the U.S. Holder to make and maintain a QEF election. Therefore, prospective investors should assume that a qualified electing fund election will not be available. A U.S. Holder of Class A ordinary shares that made a QEF Election may be referred to as an “Electing Shareholder” and a U.S. Holder of Class A ordinary shares that did not make a QEF Election may be referred to as a “Non-Electing Shareholder”.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made a valid QEF election effective for the first taxable year in the U.S. Holder’s holding period will not be subject to the general PFIC rules. As a result, such a U.S. Holder generally should not recognize gain or loss as a result of the domestication except to the extent described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as applicable.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not had a valid QEF election in effect for its entire holding period in its Class A ordinary shares (or a mark-to-market election as described below) may be subject to adverse tax consequences upon the sale of its Class A ordinary shares and upon the domestication (as described below). If such a U.S. Holder sells or is otherwise treated as disposing of its Class A ordinary shares, the entire amount of any gain realized upon the sale will be treated as an “excess distribution” made in the year of sale and as a consequence will generally be treated as ordinary income, and, to the extent allocated to years prior to the year of sale, will be subject to a special interest charge.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Class A ordinary shares may also depend on whether the U.S. Holder has made an election under Section 1296 of the Code (a “mark-to-market election”). Pursuant to a mark-to-market election, U.S. Holders who hold (directly or constructively) stock of a foreign corporation that is classified as a PFIC may annually elect to mark such stock to its market value if such stock is regularly traded on an established exchange. No assurance can be given that the Class A ordinary shares are considered to be regularly traded for purposes of the mark-to-market election or whether the other requirements of this election are satisfied. If such an election is available and has been made, such U.S. Holders will generally not be subject to the adverse taxation rules of the proposed Treasury Regulations promulgated under Section 1291(f) of the Code discussed herein. However, if the mark-to-market election is made by a Non-Electing Shareholder after the beginning of the holding period for the PFIC stock, then the adverse taxation rules of the proposed Treasury Regulations promulgated under Section 1291(f) will apply to certain dispositions of, distributions on and other amounts taxable with respect to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are strongly urged to consult their tax advisors concerning the impact of the PFIC rules on the domestication, including, without limitation, whether a QEF Election, “deemed sale” election and/or “mark to market” election is available and whether a “deemed sale” election is available to the extent a timely QEF Election cannot be made with respect to their Class A ordinary shares and the consequences to them of any such election.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Shares of Etoiles Capital Nevada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be required to include in gross income as dividends the amount of any cash distribution paid with respect to shares of Etoiles Capital Nevada Common Stock, to the extent the distribution is paid out of Etoiles Capital Nevada’s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Common Stock. Any remaining excess will be treated as gain realized on the sale or other disposition of the shares of Common Stock and will be treated as described under “—</w:t>
      </w:r>
      <w:r>
        <w:rPr>
          <w:rFonts w:ascii="Times New Roman;Times;Serif" w:hAnsi="Times New Roman;Times;Serif"/>
          <w:b w:val="false"/>
          <w:i/>
          <w:caps w:val="false"/>
          <w:smallCaps w:val="false"/>
          <w:sz w:val="20"/>
        </w:rPr>
        <w:t>Sale, Exchange or Other Disposition of Shares of Etoiles Capital Nevada Common Stock</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Etoiles Capital Nevada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and other requirements are met, dividends that Etoiles Capital Nevada pays to a non-corporate U.S. Holder may be taxed as “qualified dividend income” at the preferential tax rate accorded to long-term capital gains.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Disposition of Shares of Etoiles Capital Nevada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shares of Etoiles Capital Nevada Common Stock which, in general, would include a redemption of shares of Etoiles Capital Nevada that is treated as a sale of such securities, a U.S. Holder generally will recognize capital gain or loss. Any such capital gain or loss generally will be long-term capital gain or loss if the U.S. Holder’s holding period for the shares of Etoiles Capital Nevada Common Stock so disposed of exceeds one year. Long-term capital gains recognized by non-corporate U.S. Holders will be eligible to be taxed at preferential rates. The deductibility of capital losses is subject to limitations.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Etoiles Capital Nevada Common Stock so disposed of. See “—</w:t>
      </w:r>
      <w:r>
        <w:rPr>
          <w:rFonts w:ascii="Times New Roman;Times;Serif" w:hAnsi="Times New Roman;Times;Serif"/>
          <w:b w:val="false"/>
          <w:i/>
          <w:caps w:val="false"/>
          <w:smallCaps w:val="false"/>
          <w:sz w:val="20"/>
        </w:rPr>
        <w:t>Effects of the Domestication on U.S. Holders</w:t>
      </w:r>
      <w:r>
        <w:rPr>
          <w:rFonts w:ascii="Times New Roman;Times;Serif" w:hAnsi="Times New Roman;Times;Serif"/>
          <w:b w:val="false"/>
          <w:i w:val="false"/>
          <w:caps w:val="false"/>
          <w:smallCaps w:val="false"/>
          <w:sz w:val="20"/>
        </w:rPr>
        <w:t>” above for discussion of a U.S. Holder’s adjusted tax basis in its shares of Etoiles Capital Nevada Common Stock following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U.S. federal income tax considerations relating to the ownership and disposition of Etoiles Capital Nevada Common Stock by a non-U.S. Holder after the domestication. For purposes of this discussion, a non-U.S. Holder means a beneficial owner of Etoiles Capital Nevada Common Stock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non-resident alien individual (other than certain former citizens and residents of the United States subject to U.S. tax as expatriates);</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foreign corporation; or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or trust that is not a U.S. 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made to a non-U.S. Holder on shares of Etoiles Capital Nevada Common Stock, to the extent paid out of Etoiles Capital Nevada’s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common stock of Etoiles Capital Nevada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w:t>
      </w:r>
      <w:r>
        <w:rPr>
          <w:rFonts w:ascii="Times New Roman;Times;Serif" w:hAnsi="Times New Roman;Times;Serif"/>
          <w:b w:val="false"/>
          <w:i w:val="false"/>
          <w:caps w:val="false"/>
          <w:smallCaps w:val="false"/>
          <w:sz w:val="20"/>
        </w:rPr>
        <w:t>” below. Etoiles Capital does not expect to make any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Etoiles Capital Nevada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generally not be subject to U.S. federal income tax on gain realized on a sale or other disposition of Etoiles Capital Nevada Common Stock unless: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non-U.S. Holder is an individual who was present in the United States for 183 days or more in the taxable year of the disposition and certain other requirements are met, in which case any gain realized would generally be subject to a flat 30% U.S. federal income tax,</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a trade or business of the non-U.S. Holder in the United States, (and, if an applicable treaty so requires, is attributable to the conduct of trade or business through a permanent establishment or fixed base in the United States in which case the gain would be subject to U.S. federal income tax on a net income basis at the regular graduated rates and in the manner applicable to U.S. Holders and, if the non-U.S. Holder is a corporation, an additional “branch profits tax” may also apply), or</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Nevada is or has been a U.S. real property holding corporation at any time within the five-year period preceding the disposition or the non-U.S. Holder’s holding period, whichever period is shorter, and either (A) the common stock has ceased to be regularly traded on an established securities market or (B) the non-U.S. Holder has owned or is deemed to have owned, at any time within the five-year period preceding the disposition or the non-U.S. Holder’s holding period, whichever period is shorter, more than 5% of the common stock.</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Requirements and Backup Withholding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dividends on and the proceeds from a sale or other disposition of Etoiles Capital Nevada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Any amount of any backup withholding from a payment to a non-U.S. Holder will be allowed as a credit against such non-U.S. Holder’s U.S. federal income tax liability, if any, and may entitle such non-U.S. Holder to a refund, provided that the required information is furnished by such non-U.S. Holder to the IRS in a timely manner.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securities (including Etoiles Capital Class A ordinary shares and Etoiles Capital Nevada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Class A ordinary shares or Common Stock are held will affect the determination of whether such withholding is required. Similarly, dividends in respect of Class A ordinary shares or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All holders should consult their tax advisors regarding the possible implications of FATCA on their investment in Class A ordinary shares 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0" w:name="a_021"/>
      <w:bookmarkEnd w:id="20"/>
      <w:r>
        <w:rPr>
          <w:rFonts w:ascii="Times New Roman;Times;Serif" w:hAnsi="Times New Roman;Times;Serif"/>
          <w:b/>
          <w:i w:val="false"/>
          <w:caps w:val="false"/>
          <w:smallCaps w:val="false"/>
          <w:sz w:val="20"/>
        </w:rPr>
        <w:t>APPRAISAL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center"/>
        <w:rPr>
          <w:rFonts w:ascii="Times New Roman;Times;Serif" w:hAnsi="Times New Roman;Times;Serif"/>
          <w:b/>
          <w:i w:val="false"/>
          <w:caps w:val="false"/>
          <w:smallCaps w:val="false"/>
          <w:sz w:val="20"/>
        </w:rPr>
      </w:pPr>
      <w:bookmarkStart w:id="21" w:name="a_022"/>
      <w:bookmarkEnd w:id="21"/>
      <w:r>
        <w:rPr>
          <w:rFonts w:ascii="Times New Roman;Times;Serif" w:hAnsi="Times New Roman;Times;Serif"/>
          <w:b/>
          <w:i w:val="false"/>
          <w:caps w:val="false"/>
          <w:smallCaps w:val="false"/>
          <w:sz w:val="20"/>
        </w:rPr>
        <w:t>STOCKHOLDER NOMINATIONS AND PROPOSALS OF ETOILES CAPITAL</w:t>
      </w:r>
    </w:p>
    <w:p>
      <w:pPr>
        <w:pStyle w:val="TextBody"/>
        <w:shd w:fill="FFFFFF" w:val="clear"/>
        <w:bidi w:val="0"/>
        <w:spacing w:before="0" w:after="0"/>
        <w:ind w:left="0" w:right="0" w:firstLine="40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Existing Organizational Documents of Etoiles Capital. The following summary is qualified in its entirety by reference to the complete text of the Existing Organizational Documents, a copy of which is attached as Annex A to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is not effected, the Existing Organizational Documents will remain unchanged. To be considered for inclusion in the proxy statement relating to our 2027 annual general meeting of shareholders, we must receive shareholder proposals and nominations for director no later than May 15, 2027, or, if the date of the 2027 annual general meeting has been advanced or delayed by more than 30 days from the date of this year’s annual general meeting, then the deadline will be set by the Board and must be a reasonable time before Etoiles Capital begins to print and send its related proxy materials. Nominations and proposals also must satisfy other requirements set forth in the Existing Organizational Documents. Proposals that are not received in a timely manner will not be voted on at the 2026 annual general meeting.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Attn: Hon Fai, TAM, Unit 03-04, 25/F, Cosco Tower, 183 Queen’s Road Central, Sheung Wan,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2" w:name="a_023"/>
      <w:bookmarkEnd w:id="22"/>
      <w:r>
        <w:rPr>
          <w:rFonts w:ascii="Times New Roman;Times;Serif" w:hAnsi="Times New Roman;Times;Serif"/>
          <w:b/>
          <w:i w:val="false"/>
          <w:caps w:val="false"/>
          <w:smallCaps w:val="false"/>
          <w:sz w:val="20"/>
        </w:rPr>
        <w:t>STOCKHOLDER NOMINATIONS AND PROPOSALS OF ETOILES CAPITAL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Proposed Organizational Documents of Etoiles Capital Nevada. The following summary is qualified in its entirety by reference to the complete text of the Proposed Bylaws, a copy of which is attached as Annex C to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Etoiles Capital Nevada will be governed by the Proposed Organizational Documents. Nominations of persons for election to the board of directors of Etoiles Capital Nevada or the proposal of other business to be transacted by stockholders may only be made at a meeting properly called for such purpose and only (i) by or at the direction of the board of directors or any committee thereof or (ii) by a stockholder who (A) was a stockholder of record of Etoiles Capital Nevada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Etoiles Capital Nevada by stockholders in accordance with the applicable sections of the Proposed Bylaws are referred to as “Stockholder Nominees.” A stockholder nominating persons for election to the board of directors is referred to as the “Nominating Stockholder.”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provide that, for nominations or business to be properly brought before an annual meeting by a stockholder, the stockholder must give timely notice thereof in writing to the secretary of Etoiles Capital Nevada and, in the case of proposed business, any such proposed business must constitute a proper matter for stockholder action. To be timely, the notice must be delivered personally or mailed to, and received at, the principal executive offices of Etoiles Capital Nevada, addressed to the secretary, by no earlier than one hundred and twenty (120) days and no later than ninety (90) days before the first anniversary of the date of the prior year’s annual meeting of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election of directors is included as business to be brought before a special meeting in Etoiles Capital Nevada’s notice of meeting, then nominations of persons for election to the board of directors at a special meeting of stockholders may be made (i) by or at the direction of the Board or any committee thereof or (ii) by a stockholder who (a) was a stockholder of record of Etoiles Capital Nevada when the notice required by the Proposed Bylaws is delivered to the secretary of Etoiles Capital Nevada and at the time of the meeting, (b) is entitled to vote for the election of directors at the meeting and (c) complies with the notice and other provisions of the Proposed Bylaws. The required notice, to be timely, must be delivered personally or mailed to and received at the executive offices of Etoiles Capital Nevada, addressed to the attention of the secretary, by no earlier than one hundred and twenty (120) days before and no later than the later of ninety (90) days before such special meeting and the tenth day after the day on which the notice of such special meeting was made by mail or public disclosure.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Stockholder Notice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notice to the secretary must set forth (i) as to each person whom the stockholder proposes to nominate for election or re-election as a director: (A) Stockholder Information (as defined below) with respect to each Nominating Stockholder and Stockholder Associated Person (as defined in the Proposed Bylaws) (B) a representation to Etoiles Capital Nevada that each Nominating Stockholder is a holder of record of stock entitled to vote at the meeting and intends to appear in person or by proxy at the meeting to propose such nomination; (C) all information regarding each Stockholder Nominee or Stockholder Associated Person, in each case, that would be required to be disclosed in a solicitation of proxies subject to Section 14 of the Exchange Act and the rules and regulations promulgated thereunder, including without limitation, Rule 14a-19 under the Exchange Act (including a corresponding provision or successor rule); (D) the written consent of each Stockholder Nominee to being named in a proxy statement as a nominee and to serve if elected and a completed signed questionnaire, representation and agreement required by certain sections of the Proposed Bylaws; (E) a description of related party transactions and other information that would be required to be disclosed pursuant to federal securities law, including Rule 404 promulgated under Regulation S-K of the Securities Act (or any successor provision) if the Nominating Stockholder or the Stockholder Associated Person were the “registrant” for purposes of such rule and the Stockholder Nominee were a director or executive of such registrant; (F) Stockholder Information with respect to any stock or other interests of Etoiles Capital Nevada held by the Nominating Stockholder’s immediate family members; (G)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or they may incorporate a Schedule 13D or amendment that has been filed under the Exchange Act by reference (G) a representation to Etoiles Capital Nevada as to whether each Nominating Stockholder intends (x) to deliver a proxy statement and form of proxy to holders of at least the percentage of Etoiles Capital Nevada’s outstanding capital stock required to approve the nomination or (y) otherwise to solicit proxies from stockholders in support of such nomination; (H) all other information that would be required to be filed with the SEC if the Nominating Stockholders and Stockholder Associated Persons were participants in a solicitation subject to Section 14 of the Exchange Act; and (I) a representation by the Nominating Stockholder as to the accuracy of the information set forth in the notice; and (ii) as to any other business that the stockholder proposes to bring before the meeting, (A) Stockholder Information of the stockholder proposing business (the “Proponent”) and any Stockholder Associated Person; (B) a representation to Etoiles Capital Nevada that each Proponent is a holder of record of stock of Etoiles Capital Nevada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Etoiles Capital Nevada as to whether the Proponent intends (x) to deliver a proxy statement and form of proxy to holders of at least the percentage of Etoiles Capital Nevada’s outstanding capital stock required to approve or adopt such business or (y) otherwise to solicit proxies from the stockholders in support of such business; (E) all other information that would be required to be filed with the SEC if the Proponent or Stockholder Associated Persons were participants in a solicitation subject to Section 14 of the Exchange Act; and (F) a representation and covenant for the benefit of Etoiles Capital Nevada that the Proponents shall provide any other information reasonably requested by Etoiles Capital Nevada.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stockholder’s notice to the secretary must include the following information: (i) the name and record address of each Proponent, as they appear on Etoiles Capital Nevada’s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Etoiles Capital Nevada or with a value derived in whole or in part from the value or decrease in value of any class or series of stock of Etoiles Capital Nevada, whether or not such instrument or right shall be subject to settlement in the underlying class or series of stock of Etoiles Capital Nevada or otherwise (a “Derivative”), (E) a description in reasonable detail of any proxy (including revocable proxies), contract, arrangement, understanding or other relationship pursuant to which the Proponent or Stockholder Associated Person has a right to vote any shares of stock of Etoiles Capital Nevada, (F) any rights to dividends on the stock of Etoiles Capital Nevada owned beneficially by the Proponent or Stockholder Associated Person that are separated or separable from the underlying stock of Etoiles Capital Nevada, (G) any proportionate interest in stock of Etoiles Capital Nevada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Etoiles Capital Nevada or derivatives thereof, if any, as of the date of such notice (the information specified above in (i)-(iii) is referred to herein as “Stockholder Information”) provided however, the Proponent is only required to disclose any such agreement or understanding only to the extent known to, or to the extent such matters should be know after the exercise of reasonable diligence, by any Proponent.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Proponents shall also provide any other information reasonably requested by Etoiles Capital Nevada within ten (10) business days after such request. In addition, the Proponent shall further update and supplement the information provided to Etoiles Capital Nevada in the notice of business or upon Etoiles Capital Nevada’s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Etoiles Capital Nevada, addressed to the secretary, by no later than five (5) business days after the record date for the meeting (in the case of the update and supplement required to be made as of the record date), and not later than two (2) business days before the date of the meeting (in the case of an update and supplement required to be made as of five (5) business days before the meeting and adjournment or postponement thereof).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stockholder nominations of directors for election to the Board, the Nominating Stockholders shall further update and supplement the information provided to Etoiles Capital Nevada in their notice or upon Etoiles Capital Nevada’s request as needed, so that such information shall be true and correct as of the record date for the meeting. Such update and supplement must be delivered personally or mailed to, and received at, the principal executive offices of Etoiles Capital Nevada, addressed to the secretary, by no later than ten (10) business days after the record date for the meeting. In addition, the Nominating Stockholder shall deliver to Etoiles Capital Nevada, not later than six (6) business days prior to the date of the meeting or any adjournment, recess, rescheduling or postponement thereof, reasonable evidence that it has complied with the requirements of Rule 14a-19.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 Eligibility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eligible to be a nominee for election or re-election as a director, a person must deliver (in accordance with the time periods prescribed for delivery of notice by the board of directors) to the secretary at the principal executive offices of Etoiles Capital Nevada,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Etoiles Capital Nevada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Etoiles Capital Nevada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Etoiles Capital Nevada that are applicable to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Etoiles Capital Nevada.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3" w:name="a_024"/>
      <w:bookmarkEnd w:id="23"/>
      <w:r>
        <w:rPr>
          <w:rFonts w:ascii="Times New Roman;Times;Serif" w:hAnsi="Times New Roman;Times;Serif"/>
          <w:b/>
          <w:i w:val="false"/>
          <w:caps w:val="false"/>
          <w:smallCaps w:val="false"/>
          <w:sz w:val="20"/>
        </w:rPr>
        <w:t>SHAREHOLDER COMMUNICATIONS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interested parties may communicate with the Board, any committee chairperson or the non-management directors as a group by writing to the board or committee chairperson in care of our corporate secretary. Following the domestication, such communications should be sent to the same address. Each communication will be forwarded, depending on the subject matter, to the Board, the appropriate committee chairperson or all non-management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4" w:name="a_025"/>
      <w:bookmarkEnd w:id="24"/>
      <w:r>
        <w:rPr>
          <w:rFonts w:ascii="Times New Roman;Times;Serif" w:hAnsi="Times New Roman;Times;Serif"/>
          <w:b/>
          <w:i w:val="false"/>
          <w:caps w:val="false"/>
          <w:smallCaps w:val="false"/>
          <w:sz w:val="20"/>
        </w:rPr>
        <w:t>LEGAL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of U.S. federal securities laws. Fennemore Craig, P.C. have passed upon the validity of the securities of Etoiles Capital Nevada offered by this proxy statement/prospectus. Loeb &amp; Loeb LLP, tax counsel for Etoiles Capital, have passed upon certain U.S. federal income tax consequences of the domestication for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5" w:name="a_026"/>
      <w:bookmarkEnd w:id="25"/>
      <w:r>
        <w:rPr>
          <w:rFonts w:ascii="Times New Roman;Times;Serif" w:hAnsi="Times New Roman;Times;Serif"/>
          <w:b/>
          <w:i w:val="false"/>
          <w:caps w:val="false"/>
          <w:smallCaps w:val="false"/>
          <w:sz w:val="20"/>
        </w:rPr>
        <w:t>EXPERTS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SRCO, C.P.A., Professional Corporation, independent registered public accounting firm, has audited our consolidated financial statements included in our Annual Report on Form 20-F for the year ended December 31, 2025 and 2024, as set forth in their report, which is incorporated by reference in this prospectus and elsewhere in the registration statement. Our financial statements are incorporated by reference in reliance on SRCO, C.P.A., Professional Corporation’s report, given 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6" w:name="a_027"/>
      <w:bookmarkEnd w:id="26"/>
      <w:r>
        <w:rPr>
          <w:rFonts w:ascii="Times New Roman;Times;Serif" w:hAnsi="Times New Roman;Times;Serif"/>
          <w:b/>
          <w:i w:val="false"/>
          <w:caps w:val="false"/>
          <w:smallCaps w:val="false"/>
          <w:sz w:val="20"/>
        </w:rPr>
        <w:t>WHERE YOU CAN FIND MORE INFORMATION; INCORPORATION BY REFERENCE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has filed a registration statement on Form S-4 to register the issuance of securities described elsewhere in this proxy statement/prospectus. This proxy statement/prospectus is a part of that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files reports, proxy statements and other information with the SEC as required by the Exchange Act. You may access information on Etoiles Capital at the SEC web site containing reports, proxy statements and other information at: http://www.sec.gov.</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this proxy statement/prospectus relating to Etoiles Capital has been supplied by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Certain of Etoiles Capital’s Filings with the SEC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Etoiles Capital to “incorporate by reference” certain information filed with the SEC into this proxy statement/prospectus, which means that Etoiles Capital can disclose important information to you by referring you to other documents that Etoiles Capital has filed separately with the SEC. You should read any information incorporated by reference because it is an important part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by reference the Etoiles Capital documents listed below (other than any portions of the documents not deemed to be filed), all of which have been previously filed by Etoiles Capital with the SEC:</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Etoiles Capital’s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2025, filed with the SEC on May 14,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Etoiles Capital’s Current Report on Form 6-K, filed with the SEC on </w:t>
            </w:r>
            <w:hyperlink r:id="rId3">
              <w:r>
                <w:rPr>
                  <w:rStyle w:val="InternetLink"/>
                  <w:rFonts w:ascii="Times New Roman;Times;Serif" w:hAnsi="Times New Roman;Times;Serif"/>
                  <w:b w:val="false"/>
                  <w:i w:val="false"/>
                  <w:caps w:val="false"/>
                  <w:smallCaps w:val="false"/>
                  <w:sz w:val="20"/>
                </w:rPr>
                <w:t>October 6, 2025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October 30,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November 4,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November 25,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December 30,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10,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Etoiles Capital’s ordinary shares contained in Etoiles Capital’s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August 7, 2025, including any amendment or report filed for the purpose of updating such description.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also incorporates by reference any additional filings that Etoiles Capital makes with the SEC under Section 13(a), 13(c), 14 or 15(d) of the Exchange Act after the date of this proxy statement/prospectus and prior to the date of the annual meeting, and thereafter until the consummation of the domestication (other than those documents or the portions of those documents furnished, including pursuant to Items 2.02 or 7.01 of any Current Report on Form 8-K or exhibits filed under Item 9.01 relating to those Items, unless expressly stated otherwise therein). Any statement contained in a document incorporated by reference into this proxy statement/prospectus will be deemed to be modified or superseded to the extent that a statement contained in any other subsequently filed document that is also, or is deemed to be, incorporated by reference into this proxy statement/prospectus conflicts with, negates, modifies or supersedes that statement. Any statement that is modified or superseded will not constitute a part of this proxy statement/prospectus, except as modified or superseded.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a_01"/>
      <w:bookmarkEnd w:id="27"/>
      <w:r>
        <w:rPr>
          <w:rFonts w:ascii="Times New Roman;Times;Serif" w:hAnsi="Times New Roman;Times;Serif"/>
          <w:b/>
          <w:i w:val="false"/>
          <w:caps w:val="false"/>
          <w:smallCaps w:val="false"/>
          <w:sz w:val="20"/>
        </w:rPr>
        <w:t>DELINQUENT SECTION 16(A) REPORTS</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records reflect that all reports which were required to be filed with the SEC pursuant to Section 16(a) of the Exchange Act, were filed.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8" w:name="a_028"/>
      <w:bookmarkEnd w:id="28"/>
      <w:r>
        <w:rPr>
          <w:rFonts w:ascii="Times New Roman;Times;Serif" w:hAnsi="Times New Roman;Times;Serif"/>
          <w:b/>
          <w:i w:val="false"/>
          <w:caps w:val="false"/>
          <w:smallCaps w:val="false"/>
          <w:sz w:val="20"/>
        </w:rPr>
        <w:t xml:space="preserve">CODE OF CONDUCT AND ETHICS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conduct and ethics that applies to all of our directors, officers and employees, including our principal executive officer, principal financial officer and principal accounting officer, which is available on our website at https://ir.etoilesgroup.com/corporate-governance/documents-charters. Our code of conduct is a “code of ethics,” as defined in Item 406(b) of Regulation S-K.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9" w:name="a_029"/>
      <w:bookmarkEnd w:id="29"/>
      <w:r>
        <w:rPr>
          <w:rFonts w:ascii="Times New Roman;Times;Serif" w:hAnsi="Times New Roman;Times;Serif"/>
          <w:b/>
          <w:i w:val="false"/>
          <w:caps w:val="false"/>
          <w:smallCaps w:val="false"/>
          <w:sz w:val="20"/>
        </w:rPr>
        <w:t>OTHER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which will be presented to the annual general meeting. If any other business is properly brought before the annual general meeting, proxies will be voted in accordance with the judgment of the persons named therein.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1025"/>
        <w:gridCol w:w="95"/>
        <w:gridCol w:w="7610"/>
        <w:gridCol w:w="515"/>
      </w:tblGrid>
      <w:tr>
        <w:trPr/>
        <w:tc>
          <w:tcPr>
            <w:tcW w:w="1025" w:type="dxa"/>
            <w:tcBorders/>
            <w:shd w:fill="CCEEFF" w:val="clear"/>
            <w:vAlign w:val="center"/>
          </w:tcPr>
          <w:p>
            <w:pPr>
              <w:pStyle w:val="TableContents"/>
              <w:bidi w:val="0"/>
              <w:spacing w:before="0" w:after="283"/>
              <w:jc w:val="left"/>
              <w:rPr/>
            </w:pPr>
            <w:r>
              <w:rPr/>
              <w:t>Annex A</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1">
              <w:r>
                <w:rPr>
                  <w:rStyle w:val="InternetLink"/>
                </w:rPr>
                <w:t>Existing Organizational Documents</w:t>
              </w:r>
            </w:hyperlink>
          </w:p>
        </w:tc>
        <w:tc>
          <w:tcPr>
            <w:tcW w:w="515" w:type="dxa"/>
            <w:tcBorders/>
            <w:shd w:fill="CCEEFF" w:val="clear"/>
            <w:vAlign w:val="center"/>
          </w:tcPr>
          <w:p>
            <w:pPr>
              <w:pStyle w:val="TableContents"/>
              <w:bidi w:val="0"/>
              <w:spacing w:before="0" w:after="283"/>
              <w:jc w:val="center"/>
              <w:rPr/>
            </w:pPr>
            <w:r>
              <w:rPr/>
              <w:t>A-1</w:t>
            </w:r>
          </w:p>
        </w:tc>
      </w:tr>
      <w:tr>
        <w:trPr/>
        <w:tc>
          <w:tcPr>
            <w:tcW w:w="1025" w:type="dxa"/>
            <w:tcBorders/>
            <w:shd w:fill="FFFFFF" w:val="clear"/>
            <w:vAlign w:val="center"/>
          </w:tcPr>
          <w:p>
            <w:pPr>
              <w:pStyle w:val="TableContents"/>
              <w:bidi w:val="0"/>
              <w:spacing w:before="0" w:after="283"/>
              <w:jc w:val="left"/>
              <w:rPr/>
            </w:pPr>
            <w:r>
              <w:rPr/>
              <w:t>Annex B1</w:t>
            </w:r>
          </w:p>
        </w:tc>
        <w:tc>
          <w:tcPr>
            <w:tcW w:w="95" w:type="dxa"/>
            <w:tcBorders/>
            <w:shd w:fill="FFFFFF" w:val="clear"/>
            <w:vAlign w:val="center"/>
          </w:tcPr>
          <w:p>
            <w:pPr>
              <w:pStyle w:val="TableContents"/>
              <w:bidi w:val="0"/>
              <w:spacing w:before="0" w:after="283"/>
              <w:jc w:val="center"/>
              <w:rPr/>
            </w:pPr>
            <w:r>
              <w:rPr/>
              <w:t>-</w:t>
            </w:r>
          </w:p>
        </w:tc>
        <w:tc>
          <w:tcPr>
            <w:tcW w:w="7610" w:type="dxa"/>
            <w:tcBorders/>
            <w:shd w:fill="FFFFFF" w:val="clear"/>
            <w:vAlign w:val="center"/>
          </w:tcPr>
          <w:p>
            <w:pPr>
              <w:pStyle w:val="TableContents"/>
              <w:bidi w:val="0"/>
              <w:spacing w:before="0" w:after="283"/>
              <w:jc w:val="left"/>
              <w:rPr/>
            </w:pPr>
            <w:hyperlink w:anchor="b_002">
              <w:r>
                <w:rPr>
                  <w:rStyle w:val="InternetLink"/>
                </w:rPr>
                <w:t>Form of Articles of Incorporation of Etoiles Capital Nevada</w:t>
              </w:r>
            </w:hyperlink>
          </w:p>
        </w:tc>
        <w:tc>
          <w:tcPr>
            <w:tcW w:w="515" w:type="dxa"/>
            <w:tcBorders/>
            <w:shd w:fill="FFFFFF" w:val="clear"/>
            <w:vAlign w:val="center"/>
          </w:tcPr>
          <w:p>
            <w:pPr>
              <w:pStyle w:val="TableContents"/>
              <w:bidi w:val="0"/>
              <w:spacing w:before="0" w:after="283"/>
              <w:jc w:val="center"/>
              <w:rPr/>
            </w:pPr>
            <w:r>
              <w:rPr/>
              <w:t>B1-1</w:t>
            </w:r>
          </w:p>
        </w:tc>
      </w:tr>
      <w:tr>
        <w:trPr/>
        <w:tc>
          <w:tcPr>
            <w:tcW w:w="1025" w:type="dxa"/>
            <w:tcBorders/>
            <w:shd w:fill="CCEEFF" w:val="clear"/>
            <w:vAlign w:val="center"/>
          </w:tcPr>
          <w:p>
            <w:pPr>
              <w:pStyle w:val="TableContents"/>
              <w:bidi w:val="0"/>
              <w:spacing w:before="0" w:after="283"/>
              <w:jc w:val="left"/>
              <w:rPr/>
            </w:pPr>
            <w:r>
              <w:rPr/>
              <w:t>Annex B2</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5">
              <w:r>
                <w:rPr>
                  <w:rStyle w:val="InternetLink"/>
                </w:rPr>
                <w:t>Addendum to the Form of Certificate of Incorporation of Etoiles Capital Nevada</w:t>
              </w:r>
            </w:hyperlink>
          </w:p>
        </w:tc>
        <w:tc>
          <w:tcPr>
            <w:tcW w:w="515" w:type="dxa"/>
            <w:tcBorders/>
            <w:shd w:fill="CCEEFF" w:val="clear"/>
            <w:vAlign w:val="center"/>
          </w:tcPr>
          <w:p>
            <w:pPr>
              <w:pStyle w:val="TableContents"/>
              <w:bidi w:val="0"/>
              <w:spacing w:before="0" w:after="283"/>
              <w:jc w:val="center"/>
              <w:rPr/>
            </w:pPr>
            <w:r>
              <w:rPr/>
              <w:t>B2-1</w:t>
            </w:r>
          </w:p>
        </w:tc>
      </w:tr>
      <w:tr>
        <w:trPr/>
        <w:tc>
          <w:tcPr>
            <w:tcW w:w="1025" w:type="dxa"/>
            <w:tcBorders/>
            <w:shd w:fill="FFFFFF" w:val="clear"/>
            <w:vAlign w:val="center"/>
          </w:tcPr>
          <w:p>
            <w:pPr>
              <w:pStyle w:val="TableContents"/>
              <w:bidi w:val="0"/>
              <w:spacing w:before="0" w:after="283"/>
              <w:jc w:val="left"/>
              <w:rPr/>
            </w:pPr>
            <w:r>
              <w:rPr/>
              <w:t>Annex C</w:t>
            </w:r>
          </w:p>
        </w:tc>
        <w:tc>
          <w:tcPr>
            <w:tcW w:w="95" w:type="dxa"/>
            <w:tcBorders/>
            <w:shd w:fill="FFFFFF" w:val="clear"/>
            <w:vAlign w:val="center"/>
          </w:tcPr>
          <w:p>
            <w:pPr>
              <w:pStyle w:val="TableContents"/>
              <w:bidi w:val="0"/>
              <w:spacing w:before="0" w:after="283"/>
              <w:jc w:val="center"/>
              <w:rPr/>
            </w:pPr>
            <w:r>
              <w:rPr/>
              <w:t>-</w:t>
            </w:r>
          </w:p>
        </w:tc>
        <w:tc>
          <w:tcPr>
            <w:tcW w:w="7610" w:type="dxa"/>
            <w:tcBorders/>
            <w:shd w:fill="FFFFFF" w:val="clear"/>
            <w:vAlign w:val="center"/>
          </w:tcPr>
          <w:p>
            <w:pPr>
              <w:pStyle w:val="TableContents"/>
              <w:bidi w:val="0"/>
              <w:spacing w:before="0" w:after="283"/>
              <w:jc w:val="left"/>
              <w:rPr/>
            </w:pPr>
            <w:hyperlink w:anchor="b_003">
              <w:r>
                <w:rPr>
                  <w:rStyle w:val="InternetLink"/>
                </w:rPr>
                <w:t>Form of Bylaws of Etoiles Capital Nevada</w:t>
              </w:r>
            </w:hyperlink>
          </w:p>
        </w:tc>
        <w:tc>
          <w:tcPr>
            <w:tcW w:w="515" w:type="dxa"/>
            <w:tcBorders/>
            <w:shd w:fill="FFFFFF" w:val="clear"/>
            <w:vAlign w:val="center"/>
          </w:tcPr>
          <w:p>
            <w:pPr>
              <w:pStyle w:val="TableContents"/>
              <w:bidi w:val="0"/>
              <w:spacing w:before="0" w:after="283"/>
              <w:jc w:val="center"/>
              <w:rPr/>
            </w:pPr>
            <w:r>
              <w:rPr/>
              <w:t>C-1</w:t>
            </w:r>
          </w:p>
        </w:tc>
      </w:tr>
      <w:tr>
        <w:trPr/>
        <w:tc>
          <w:tcPr>
            <w:tcW w:w="1025" w:type="dxa"/>
            <w:tcBorders/>
            <w:shd w:fill="CCEEFF" w:val="clear"/>
            <w:vAlign w:val="center"/>
          </w:tcPr>
          <w:p>
            <w:pPr>
              <w:pStyle w:val="TableContents"/>
              <w:bidi w:val="0"/>
              <w:spacing w:before="0" w:after="283"/>
              <w:jc w:val="left"/>
              <w:rPr/>
            </w:pPr>
            <w:r>
              <w:rPr/>
              <w:t>Annex D </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6">
              <w:r>
                <w:rPr>
                  <w:rStyle w:val="InternetLink"/>
                </w:rPr>
                <w:t>Form of Articles of Domestication of Etoiles Capital Group Co., Ltd</w:t>
              </w:r>
            </w:hyperlink>
          </w:p>
        </w:tc>
        <w:tc>
          <w:tcPr>
            <w:tcW w:w="515" w:type="dxa"/>
            <w:tcBorders/>
            <w:shd w:fill="CCEEFF" w:val="clear"/>
            <w:vAlign w:val="center"/>
          </w:tcPr>
          <w:p>
            <w:pPr>
              <w:pStyle w:val="TableContents"/>
              <w:bidi w:val="0"/>
              <w:spacing w:before="0" w:after="283"/>
              <w:jc w:val="center"/>
              <w:rPr/>
            </w:pPr>
            <w:r>
              <w:rPr/>
              <w:t>D-1</w:t>
            </w:r>
          </w:p>
        </w:tc>
      </w:tr>
      <w:tr>
        <w:trPr/>
        <w:tc>
          <w:tcPr>
            <w:tcW w:w="1025" w:type="dxa"/>
            <w:tcBorders/>
            <w:shd w:fill="FFFFFF" w:val="clear"/>
            <w:vAlign w:val="center"/>
          </w:tcPr>
          <w:p>
            <w:pPr>
              <w:pStyle w:val="TableContents"/>
              <w:bidi w:val="0"/>
              <w:spacing w:before="0" w:after="283"/>
              <w:jc w:val="left"/>
              <w:rPr/>
            </w:pPr>
            <w:r>
              <w:rPr/>
              <w:t>Annex F</w:t>
            </w:r>
          </w:p>
        </w:tc>
        <w:tc>
          <w:tcPr>
            <w:tcW w:w="95" w:type="dxa"/>
            <w:tcBorders/>
            <w:shd w:fill="FFFFFF" w:val="clear"/>
            <w:vAlign w:val="center"/>
          </w:tcPr>
          <w:p>
            <w:pPr>
              <w:pStyle w:val="TableContents"/>
              <w:bidi w:val="0"/>
              <w:spacing w:before="0" w:after="283"/>
              <w:jc w:val="center"/>
              <w:rPr/>
            </w:pPr>
            <w:r>
              <w:rPr/>
              <w:t> </w:t>
            </w:r>
          </w:p>
        </w:tc>
        <w:tc>
          <w:tcPr>
            <w:tcW w:w="7610" w:type="dxa"/>
            <w:tcBorders/>
            <w:shd w:fill="FFFFFF" w:val="clear"/>
            <w:vAlign w:val="center"/>
          </w:tcPr>
          <w:p>
            <w:pPr>
              <w:pStyle w:val="TableContents"/>
              <w:bidi w:val="0"/>
              <w:spacing w:before="0" w:after="283"/>
              <w:jc w:val="left"/>
              <w:rPr/>
            </w:pPr>
            <w:hyperlink w:anchor="a_030">
              <w:r>
                <w:rPr>
                  <w:rStyle w:val="InternetLink"/>
                </w:rPr>
                <w:t>Form of Proxy Card for Annual General Meeting</w:t>
              </w:r>
            </w:hyperlink>
          </w:p>
        </w:tc>
        <w:tc>
          <w:tcPr>
            <w:tcW w:w="515" w:type="dxa"/>
            <w:tcBorders/>
            <w:shd w:fill="FFFFFF" w:val="clear"/>
            <w:vAlign w:val="center"/>
          </w:tcPr>
          <w:p>
            <w:pPr>
              <w:pStyle w:val="TableContents"/>
              <w:bidi w:val="0"/>
              <w:spacing w:before="0" w:after="283"/>
              <w:jc w:val="center"/>
              <w:rPr/>
            </w:pPr>
            <w:r>
              <w:rPr/>
              <w:t>F-1</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0" w:name="b_001"/>
      <w:bookmarkEnd w:id="30"/>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99"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3432" w:right="0" w:firstLine="2"/>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25"/>
        <w:gridCol w:w="48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Company is Thrive Capital Group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a bank or trust company without being licensed in that behalf under the Banks and Trust Companies Act (Revised);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business from within the Cayman Islands or the business of an insurance manager, agent, sub-agent or broker without being licensed in that behalf under the Insurance Act (Revised);or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company management without being licensed in that behalf under the Companies Management Act (Revised).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of the Company is US$50,000 divided into 450,000,000 Class A Ordinary Shares of par value US$0.0001 each and 50,000,000 Class B Ordinary Shares of par value US$0.0001 each. Subject to the Companies Act (Revised) and the Company’s articles of association, the Company has power to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redeem or repurchase any of its shares;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45"/>
        <w:gridCol w:w="26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or reduce its capital;</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30"/>
        <w:gridCol w:w="6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00"/>
        <w:gridCol w:w="7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60"/>
        <w:gridCol w:w="32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45"/>
        <w:gridCol w:w="61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99"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99" w:right="0" w:hanging="0"/>
        <w:jc w:val="center"/>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3"/>
        <w:gridCol w:w="6631"/>
        <w:gridCol w:w="245"/>
      </w:tblGrid>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Table A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 and options, with or without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fractions of a Share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commissions and brokerage fees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Trusts not recognised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vary class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new Share issue on existing class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bearer Shares or warrants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Treasury Shares and related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Return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share certificates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lost or damaged 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 on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and scope of lien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sell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execute instrument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sale of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 of sale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Calls on Shares and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calls and effect of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when call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unpaid calls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accept early payment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different arrangements at time of issue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or surrender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forfeiture or surrender on former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forfeited or surrendered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Suspension of transfers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retain instrument of transfer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refusal to register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926"/>
        <w:gridCol w:w="5243"/>
        <w:gridCol w:w="245"/>
      </w:tblGrid>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Transmission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18</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on death of a Member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of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person entitled to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Dealing with fractions resulting from consolidation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CCEEFF" w:val="clear"/>
            <w:vAlign w:val="center"/>
          </w:tcPr>
          <w:p>
            <w:pPr>
              <w:pStyle w:val="TableContents"/>
              <w:bidi w:val="0"/>
              <w:spacing w:before="0" w:after="283"/>
              <w:jc w:val="left"/>
              <w:rPr/>
            </w:pPr>
            <w:r>
              <w:rPr/>
              <w:t> </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52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redeemable Shares and to purchase own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for redemption or purchase in cash or in specie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redemption or purchase of a Share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and extraordinary general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call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 of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receive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Accidental omission to give notice or non-receipt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Proceedings at 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a Director to attend and speak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of Members at Virtual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 postponement and cancellation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voting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of a poll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Chairman’s casting vote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Sole-Member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vote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corporate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disqualification and removal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04" w:type="dxa"/>
        <w:jc w:val="left"/>
        <w:tblInd w:w="0" w:type="dxa"/>
        <w:tblLayout w:type="fixed"/>
        <w:tblCellMar>
          <w:top w:w="0" w:type="dxa"/>
          <w:left w:w="0" w:type="dxa"/>
          <w:bottom w:w="0" w:type="dxa"/>
          <w:right w:w="0" w:type="dxa"/>
        </w:tblCellMar>
      </w:tblPr>
      <w:tblGrid>
        <w:gridCol w:w="993"/>
        <w:gridCol w:w="5266"/>
        <w:gridCol w:w="245"/>
      </w:tblGrid>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Alternate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Powers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511"/>
        <w:gridCol w:w="7473"/>
        <w:gridCol w:w="245"/>
      </w:tblGrid>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Authentication of Electronic Records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of Memorandum and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A-iv</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25"/>
        <w:gridCol w:w="44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Definitions, interpretation and exclusion of Table 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75"/>
        <w:gridCol w:w="40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mother-in-law and father- 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“control”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30"/>
        <w:gridCol w:w="4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45"/>
        <w:gridCol w:w="3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Ordinary Share </w:t>
      </w:r>
      <w:r>
        <w:rPr>
          <w:rFonts w:ascii="Times New Roman;Times;Serif" w:hAnsi="Times New Roman;Times;Serif"/>
          <w:b w:val="false"/>
          <w:i w:val="false"/>
          <w:caps w:val="false"/>
          <w:smallCaps w:val="false"/>
          <w:sz w:val="20"/>
        </w:rPr>
        <w:t>means the class A ordinary shares of US$0.0001 par value each of the Company, which have the rights set forth in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 </w:t>
      </w:r>
      <w:r>
        <w:rPr>
          <w:rFonts w:ascii="Times New Roman;Times;Serif" w:hAnsi="Times New Roman;Times;Serif"/>
          <w:b w:val="false"/>
          <w:i w:val="false"/>
          <w:caps w:val="false"/>
          <w:smallCaps w:val="false"/>
          <w:sz w:val="20"/>
        </w:rPr>
        <w:t>means the class B ordinary shares of US$0.0001 par value each of the Company, which have the rights set forth in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230"/>
        <w:gridCol w:w="56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when the notice is given or deemed to be given; and</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245"/>
        <w:gridCol w:w="55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for which it is given or on which it is to take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Ordinary Shares elects to convert the number of Class B Ordinary Shares specified therein pursuant to Article 2.9(a);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Ordinary Shares, such number of Class A Ordinary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Ordinary Shares to Class A Ordinary Shares means, at any time, on a [one-to-one]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Ordinary Shares in issue into a greater or lesser number of shares occurring after the original filing of the Articles without a proportionate and corresponding subdivision, combination or similar reclassification or recapitalisation of the Class B Ordinary Shares in issue;</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xml:space="preserve"> in respect of a holder of Class B Ordinary Shares, subject to the provisions of these Articles and to any applicable fiscal or other laws or regulations including the Act, to convert all or any of its Class B Ordinary Shares, into the Conversion Number of Class A Ordinary Shares in its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the Nasdaq Capital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Communication Facilities </w:t>
      </w:r>
      <w:r>
        <w:rPr>
          <w:rFonts w:ascii="Times New Roman;Times;Serif" w:hAnsi="Times New Roman;Times;Serif"/>
          <w:b w:val="false"/>
          <w:i w:val="false"/>
          <w:caps w:val="false"/>
          <w:smallCaps w:val="false"/>
          <w:sz w:val="20"/>
        </w:rPr>
        <w:t>means video, video-conferencing, internet or online conferencing applications, telephone or tele-conferencing and/or any other video- 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been fully paid or credited as paid in money or money’s worth;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meeting </w:t>
      </w:r>
      <w:r>
        <w:rPr>
          <w:rFonts w:ascii="Times New Roman;Times;Serif" w:hAnsi="Times New Roman;Times;Serif"/>
          <w:b w:val="false"/>
          <w:i w:val="false"/>
          <w:caps w:val="false"/>
          <w:smallCaps w:val="false"/>
          <w:sz w:val="20"/>
        </w:rPr>
        <w:t>means a general meeting of the Company duly constituted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the votes by Members who (being entitled to do so) vote in person or by proxy or, in the case of corporations, by their duly authorised representatives, at that meeting. The expression includes a written resolution signed by the requisite majority in accordance with Article 11.14;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not been fully paid or credited as paid in money or money’s worth;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 (except where a distinction between shares and stock is expressed or implied); and</w:t>
            </w:r>
          </w:p>
        </w:tc>
      </w:tr>
    </w:tbl>
    <w:p>
      <w:pPr>
        <w:pStyle w:val="TextBody"/>
        <w:bidi w:val="0"/>
        <w:spacing w:before="0" w:after="0"/>
        <w:ind w:left="1558" w:right="0" w:hanging="709"/>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245"/>
        <w:gridCol w:w="49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context permits, also includes a fraction of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solely by means of Electronic Communication Facilities.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75"/>
        <w:gridCol w:w="8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reference in these Articles to a statute is a reference to a statute of the Cayman Islands as known by its short title, and includes: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200"/>
        <w:gridCol w:w="4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statutory modification, amendment or re-enactment; and</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subordinate legislation or regulations issued under that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Headings are inserted for convenience only and do not affect the interpretation of these Articles, unless there is ambiguity.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day on which any act, matter or thing is to be done under these Articles is not a Business Day, the act, matter or thing must be done on the next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reference to a </w:t>
            </w:r>
            <w:r>
              <w:rPr>
                <w:rFonts w:ascii="Times New Roman;Times;Serif" w:hAnsi="Times New Roman;Times;Serif"/>
                <w:b/>
                <w:sz w:val="20"/>
              </w:rPr>
              <w:t xml:space="preserve">person </w:t>
            </w:r>
            <w:r>
              <w:rPr>
                <w:rFonts w:ascii="Times New Roman;Times;Serif" w:hAnsi="Times New Roman;Times;Serif"/>
                <w:sz w:val="20"/>
              </w:rPr>
              <w:t>includes, as appropriate, a company, trust, partnership, joint venture, association, body corporate or government agency.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word or phrase is given a defined meaning another part of speech or grammatical form in respect to that word or phrase has a corresponding meaning.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references to time are to be calculated by reference to time in the place where the Company’s registered office is located.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 xml:space="preserve">written </w:t>
            </w:r>
            <w:r>
              <w:rPr>
                <w:rFonts w:ascii="Times New Roman;Times;Serif" w:hAnsi="Times New Roman;Times;Serif"/>
                <w:sz w:val="20"/>
              </w:rPr>
              <w:t xml:space="preserve">and </w:t>
            </w:r>
            <w:r>
              <w:rPr>
                <w:rFonts w:ascii="Times New Roman;Times;Serif" w:hAnsi="Times New Roman;Times;Serif"/>
                <w:b/>
                <w:sz w:val="20"/>
              </w:rPr>
              <w:t xml:space="preserve">in writing </w:t>
            </w:r>
            <w:r>
              <w:rPr>
                <w:rFonts w:ascii="Times New Roman;Times;Serif" w:hAnsi="Times New Roman;Times;Serif"/>
                <w:sz w:val="20"/>
              </w:rPr>
              <w:t>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00"/>
        <w:gridCol w:w="91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including</w:t>
            </w:r>
            <w:r>
              <w:rPr>
                <w:rFonts w:ascii="Times New Roman;Times;Serif" w:hAnsi="Times New Roman;Times;Serif"/>
                <w:sz w:val="20"/>
              </w:rPr>
              <w:t xml:space="preserve">, </w:t>
            </w:r>
            <w:r>
              <w:rPr>
                <w:rFonts w:ascii="Times New Roman;Times;Serif" w:hAnsi="Times New Roman;Times;Serif"/>
                <w:b/>
                <w:sz w:val="20"/>
              </w:rPr>
              <w:t xml:space="preserve">include </w:t>
            </w:r>
            <w:r>
              <w:rPr>
                <w:rFonts w:ascii="Times New Roman;Times;Serif" w:hAnsi="Times New Roman;Times;Serif"/>
                <w:sz w:val="20"/>
              </w:rPr>
              <w:t xml:space="preserve">and </w:t>
            </w:r>
            <w:r>
              <w:rPr>
                <w:rFonts w:ascii="Times New Roman;Times;Serif" w:hAnsi="Times New Roman;Times;Serif"/>
                <w:b/>
                <w:sz w:val="20"/>
              </w:rPr>
              <w:t xml:space="preserve">in particular </w:t>
            </w:r>
            <w:r>
              <w:rPr>
                <w:rFonts w:ascii="Times New Roman;Times;Serif" w:hAnsi="Times New Roman;Times;Serif"/>
                <w:sz w:val="20"/>
              </w:rPr>
              <w:t>or any similar expression are to be construed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w:t>
            </w:r>
            <w:r>
              <w:rPr>
                <w:rFonts w:ascii="Times New Roman;Times;Serif" w:hAnsi="Times New Roman;Times;Serif"/>
                <w:b/>
                <w:sz w:val="20"/>
              </w:rPr>
              <w:t>present</w:t>
            </w:r>
            <w:r>
              <w:rPr>
                <w:rFonts w:ascii="Times New Roman;Times;Serif" w:hAnsi="Times New Roman;Times;Serif"/>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authorised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720" w:right="0" w:hanging="708"/>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275"/>
        <w:gridCol w:w="97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headings in these Articles are intended for convenience only and shall not affect the interpretation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25"/>
        <w:gridCol w:w="6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720" w:right="0" w:hanging="708"/>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275"/>
        <w:gridCol w:w="77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either at a premium or at par;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275"/>
        <w:gridCol w:w="39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3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two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refuse to accept any application for Shares, and may accept any application in whole or in part, for any reason or for no reason.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fractions of a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275"/>
        <w:gridCol w:w="68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subscribing or agreeing to subscribe, whether absolutely or conditionally; or</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procuring or agreeing to procure subscriptions, whether absolute or conditional,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275"/>
        <w:gridCol w:w="90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employ a broker in the issue of its capital and pay him any proper commission or brokerage.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275"/>
        <w:gridCol w:w="21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required by Act: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shall be recognised by the Company as holding any Share on any trust; and</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other than the Member shall be recognised by the Company as having any right in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Article 2.1, the Memorandum and any Special Resolution to the contrary and without prejudice to any special rights conferred thereby on the holders of any other Shares or class of Shares, Class A Ordinary Shares and Class B Ordinary Shares shall carry equal rights and rank pari passu 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3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hereof and to compliance with all fiscal and other laws and regulations applicable thereto, including the Act, a holder of Class B Ordinary Shares shall have the Conversion Right in respect of each Class B Ordinary Share in its holding. For the avoidance of doubt, a holder of Class A Ordinary Shares shall have no rights to convert Class A Ordinary Shares into Class B Ordinary Shares under any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B Ordinary Share shall be converted at the option of the holder, at any time after issue and without the payment of any additional sum, into such Conversion Number of fully paid Class A Ordinary Shares calculated at the Conversion Rate. Such conversion shall take effect on the Conversion Date. A Conversion Notice shall not be effective if it is not accompanied by the share certificates in respect of the relevant Class B Ordinary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Ordinary Shares requesting conversion.</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Conversion Date, every Class B Ordinary Share converted shall automatically be re-designated and re-classified (or in such other manner as the Directors may direct that is not in contravention of applicable laws) as the applicable Conversion Number of Class A Ordinary Shares with such rights and restrictions attached thereto and shall rank pari passu in all respects with the Class A Ordinary Shares then in issue and the Company shall enter or procure the entry of the name of the relevant holder of converted Class B Ordinary Shares as the holder of the corresponding number of Class A Ordinary Shares resulting from the conversion of the Class B Ordinary Shares in, and make any other necessary and consequential changes to, the register of members and shall procure that, if required, certificates in respect of the relevant Class A Ordinary Shares, together with a new certificate for any unconverted Class B Ordinary Shares comprised in the certificate(s) surrendered by the holder of the Class B Ordinary Shares, are issued to the holders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time as the Class B Ordinary Shares have been converted into Class A Ordinary Shares, the Company shall: (A) 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 (B) not make any issue, grant or distribution or take any other action if the effect would be that on the conversion of the Class B Ordinary Shares to Class A Ordinary Shares it would be required to issue Class A Ordinary Shares at a price lower than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245"/>
        <w:gridCol w:w="12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Class A Ordinary Shares and Class B Ordinary Shares have the right to receive notice of, attend, speak and vote at general meetings of the Company. Holders of shares of Class A Ordinary Shares and Class B Ordinary Shares shall, at all times, vote together as a single class on all matters submitted to a vote for Members’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A Ordinary Share shall be entitled to one (1) vote on all matters subject to the vote at general meetings of the Company; whereas, each Class B Ordinary Share shall be entitled to ten (10) votes on all matters subject to the vote at general meetings of the Company.</w:t>
            </w:r>
          </w:p>
        </w:tc>
      </w:tr>
    </w:tbl>
    <w:p>
      <w:pPr>
        <w:pStyle w:val="TextBody"/>
        <w:bidi w:val="0"/>
        <w:spacing w:before="0" w:after="0"/>
        <w:ind w:left="1559" w:right="0" w:hanging="71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such Conversion Number of Class A Ordinary Shares calculated based on the Conversion Rate.</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30"/>
        <w:gridCol w:w="94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holding not less than two-thirds of the issued Shares of that class consent in writing to the variation; or</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variation is made with the sanction of a Special Resolution passed at a separate general meeting of the Members holding the issued Shares of that class.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2.10(b),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i/>
                <w:sz w:val="20"/>
              </w:rPr>
              <w:t xml:space="preserve">pari passu </w:t>
            </w:r>
            <w:r>
              <w:rPr>
                <w:rFonts w:ascii="Times New Roman;Times;Serif" w:hAnsi="Times New Roman;Times;Serif"/>
                <w:sz w:val="20"/>
              </w:rPr>
              <w:t>with the existing Shares of that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issue Shares or warrants to bearers.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1559" w:right="0" w:hanging="711"/>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230"/>
        <w:gridCol w:w="75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so determine prior to the purchase, redemption or surrender of those shares; and</w:t>
            </w:r>
          </w:p>
        </w:tc>
      </w:tr>
    </w:tbl>
    <w:p>
      <w:pPr>
        <w:pStyle w:val="TextBody"/>
        <w:bidi w:val="0"/>
        <w:spacing w:before="0" w:after="0"/>
        <w:ind w:left="1559" w:right="0" w:hanging="711"/>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relevant provisions of the Memorandum and Articles and the Act are otherwise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Article 2.17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25"/>
        <w:gridCol w:w="36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certificates Issue of share certificates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30"/>
        <w:gridCol w:w="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245"/>
        <w:gridCol w:w="9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expenses reasonably incurred by the Company in investigating the evidence; and</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245"/>
        <w:gridCol w:w="62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a reasonable fee, if any for issuing a replacement share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25"/>
        <w:gridCol w:w="1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Lien 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1559" w:right="0" w:hanging="711"/>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30"/>
        <w:gridCol w:w="77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Member;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275"/>
        <w:gridCol w:w="89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time the Board may declare any Share to be wholly or partly exempt from the provisions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275"/>
        <w:gridCol w:w="8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sell any Shares over which it has a lien if all of the following conditions are met:</w:t>
            </w:r>
          </w:p>
        </w:tc>
      </w:tr>
    </w:tbl>
    <w:p>
      <w:pPr>
        <w:pStyle w:val="TextBody"/>
        <w:bidi w:val="0"/>
        <w:spacing w:before="0" w:after="0"/>
        <w:ind w:left="1559" w:right="0" w:hanging="71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30"/>
        <w:gridCol w:w="51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sum in respect of which the lien exists is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559" w:right="0" w:hanging="711"/>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sum is not paid within fourteen (14) Clear Days after that notice is deemed to be given under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75"/>
        <w:gridCol w:w="63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maximum extent permitted by law, the Directors shall incur no personal liability to the Member concerned in respect of the sale.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275"/>
        <w:gridCol w:w="36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Lien Default Shares; and</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245"/>
        <w:gridCol w:w="88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deliver to the Company for cancellation the certificate (if any) for those Lien Default Shares.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1559" w:right="0" w:hanging="71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230"/>
        <w:gridCol w:w="6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certificate for the Lien Default Shares was issued, at the date of the sale; or</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certificate for the Lien Default Shares was issued, upon surrender to the Company of that certificate for cancellation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25"/>
        <w:gridCol w:w="25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Calls on Shares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registered as the joint holders of a Share shall be jointly and severally liable to pay all calls in respect of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fixed by the terms of allotment of the Share or in the notice of the call; or</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245"/>
        <w:gridCol w:w="3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rate is fixed,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1559" w:right="0" w:hanging="71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unpaid;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interest which may have accrued; and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30"/>
        <w:gridCol w:w="6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expenses which have been incurred by the Company due to that person’s default.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80"/>
        <w:gridCol w:w="29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30"/>
        <w:gridCol w:w="3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place where payment is to be made; and</w:t>
            </w:r>
          </w:p>
        </w:tc>
      </w:tr>
    </w:tbl>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warning that if the notice is not complied with the Shares in respect of which the call is made will be liable to be forfeited.</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80"/>
        <w:gridCol w:w="21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surrender to the Company for cancellation the certificate (if any) for the forfeited or surrendered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10" w:right="0" w:hanging="710"/>
        <w:jc w:val="righ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from the date of forfeiture or surrender until payment:</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200"/>
        <w:gridCol w:w="6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of which interest was payable on those monies before forfeiture; or</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260"/>
        <w:gridCol w:w="396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interest was so payable,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1559" w:right="0" w:hanging="71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person making the declaration is a Director or Secretary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particular Shares have been forfeited or surrendered on a particular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141"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25"/>
        <w:gridCol w:w="16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6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Transfer of Shares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Fully Paid, by or on behalf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partly paid, by or on behalf of that Member and the transferee.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245"/>
        <w:gridCol w:w="53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230"/>
        <w:gridCol w:w="7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transferred are Fully Paid Up and free of any lien in favour of the Company; and</w:t>
            </w:r>
          </w:p>
        </w:tc>
      </w:tr>
    </w:tbl>
    <w:p>
      <w:pPr>
        <w:pStyle w:val="TextBody"/>
        <w:bidi w:val="0"/>
        <w:spacing w:before="0" w:after="0"/>
        <w:ind w:left="1581"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75"/>
        <w:gridCol w:w="64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instruments of transfer that are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refuse to register a transfer of any Shares of any class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141"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25"/>
        <w:gridCol w:w="2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Transmission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Member dies, the only persons recognised by the Company as having any title to the deceased Members’ interest are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230"/>
        <w:gridCol w:w="6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joint holder, the survivor or survivors; and</w:t>
            </w:r>
          </w:p>
        </w:tc>
      </w:tr>
    </w:tbl>
    <w:p>
      <w:pPr>
        <w:pStyle w:val="TextBody"/>
        <w:bidi w:val="0"/>
        <w:spacing w:before="0" w:after="0"/>
        <w:ind w:left="1559" w:right="0" w:hanging="71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sole holder, that Member’s personal representative or representatives.</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30"/>
        <w:gridCol w:w="30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become the holder of the Share; or</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transfer the Share to another person.</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275"/>
        <w:gridCol w:w="78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275"/>
        <w:gridCol w:w="5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Fully Paid Up, the transferor must execute an instrument of transfer;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nil or Partly Paid Up, the transferor and the transferee must execute an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275"/>
        <w:gridCol w:w="94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the Articles relating to the transfer of Shares shall apply to the notice or, as appropriate, the instrument of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25"/>
        <w:gridCol w:w="17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fullest extent permitted by the Act, the Company may by Ordinary Resolution do any of the following and amend its Memorandum for that purpose: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45"/>
        <w:gridCol w:w="8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larger amount than its existing Shares;</w:t>
            </w:r>
          </w:p>
        </w:tc>
      </w:tr>
    </w:tbl>
    <w:p>
      <w:pPr>
        <w:pStyle w:val="TextBody"/>
        <w:bidi w:val="0"/>
        <w:spacing w:before="0" w:after="0"/>
        <w:ind w:left="1559" w:right="0" w:hanging="711"/>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230"/>
        <w:gridCol w:w="9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its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round up or down the fraction to the nearest whole number, such rounding to be determined by the Directors acting in their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 the Shares representing the fractions for the best price reasonably obtainable to any person (including, subject to the provisions of the Act, the Company); or</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 the net proceeds in due proportion among those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25"/>
        <w:gridCol w:w="34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its Directors: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When making a payment in respect of the redemption or purchase of Shares, the Directors may make the payment in cash or </w:t>
            </w:r>
            <w:r>
              <w:rPr>
                <w:rFonts w:ascii="Times New Roman;Times;Serif" w:hAnsi="Times New Roman;Times;Serif"/>
                <w:i/>
                <w:sz w:val="20"/>
              </w:rPr>
              <w:t xml:space="preserve">in specie </w:t>
            </w:r>
            <w:r>
              <w:rPr>
                <w:rFonts w:ascii="Times New Roman;Times;Serif" w:hAnsi="Times New Roman;Times;Serif"/>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275"/>
        <w:gridCol w:w="42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holding that Share shall cease to be entitled to any rights in respect of the Share other than the right to receive:</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00"/>
        <w:gridCol w:w="22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for the Share; and</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dividend declared in respect of the Share prior to the date of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name shall be removed from the register of Members with respect to the Share; and</w:t>
            </w:r>
          </w:p>
        </w:tc>
      </w:tr>
    </w:tbl>
    <w:p>
      <w:pPr>
        <w:pStyle w:val="TextBody"/>
        <w:bidi w:val="0"/>
        <w:spacing w:before="0" w:after="0"/>
        <w:ind w:left="1559" w:right="0" w:hanging="711"/>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230"/>
        <w:gridCol w:w="71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shall be cancelled or held as a Treasury Share,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230"/>
        <w:gridCol w:w="18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380"/>
        <w:gridCol w:w="84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general meetings other than annual general meetings shall be called extraordinary general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380"/>
        <w:gridCol w:w="43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80"/>
        <w:gridCol w:w="87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requisition must be in writing and given by one or more Members who together hold at least ten per cent of the rights to vote at such general meeting.</w:t>
            </w:r>
          </w:p>
        </w:tc>
      </w:tr>
    </w:tbl>
    <w:p>
      <w:pPr>
        <w:pStyle w:val="TextBody"/>
        <w:bidi w:val="0"/>
        <w:spacing w:before="0" w:after="0"/>
        <w:ind w:left="720" w:right="0" w:hanging="708"/>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380"/>
        <w:gridCol w:w="21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230"/>
        <w:gridCol w:w="28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specify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30"/>
        <w:gridCol w:w="44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 delivered in accordance with the notice provisions.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485"/>
        <w:gridCol w:w="930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Members call a meeting under the above provisions, the Company shall reimburse their reasonable expenses.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485"/>
        <w:gridCol w:w="51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30"/>
        <w:gridCol w:w="35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the date and the hour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45"/>
        <w:gridCol w:w="5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meeting will be held virtually, at a physical place or both;</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230"/>
        <w:gridCol w:w="68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is to be held in any part at a physical place, the address of such place;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paragraph (f) and the requirements of (to the extent applicable) the Designated Stock Exchange Rules, the general nature of the business to be transacted; and</w:t>
            </w:r>
          </w:p>
        </w:tc>
      </w:tr>
    </w:tbl>
    <w:p>
      <w:pPr>
        <w:pStyle w:val="TextBody"/>
        <w:bidi w:val="0"/>
        <w:spacing w:before="0" w:after="0"/>
        <w:ind w:left="1559" w:right="0" w:hanging="71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00"/>
        <w:gridCol w:w="62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resolution is proposed as a Special Resolution, the text of that resolution.</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485"/>
        <w:gridCol w:w="70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7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Member who is entitled to attend and vote is entitled to appoint one or more proxies to attend and vote instead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a proxyholder need not be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485"/>
        <w:gridCol w:w="70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five (5) Clear Days’ notice must be given to Members for any general meeting.</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4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848" w:right="0" w:hanging="70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 meeting may be convened on shorter notice, subject to the Act with the consent of the Member or Members who, individually or collectively, hold at least seventy-five per cent (75%)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230"/>
        <w:gridCol w:w="10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Members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a Share in consequence of the death or bankruptcy of a Member;</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230"/>
        <w:gridCol w:w="1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45"/>
        <w:gridCol w:w="22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Auditors (if appointed).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485"/>
        <w:gridCol w:w="548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accidental failure to give notice of the meeting to any person entitled to notice; or</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245"/>
        <w:gridCol w:w="5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non-receipt of notice of the meeting by any person entitled to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where a notice of meeting is published on a website proceedings at the meeting shall not be invalidated merely because it is accidentally published:</w:t>
            </w:r>
          </w:p>
        </w:tc>
      </w:tr>
    </w:tbl>
    <w:p>
      <w:pPr>
        <w:pStyle w:val="TextBody"/>
        <w:bidi w:val="0"/>
        <w:spacing w:before="0" w:after="0"/>
        <w:ind w:left="1559" w:right="0" w:hanging="71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30"/>
        <w:gridCol w:w="30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 different place on the website; or</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part only of the period from the date of the notification until the conclusion of the meeting to which the notice relates.</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230"/>
        <w:gridCol w:w="3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Proceedings at meetings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as provided in the following Article, no business shall be transacted at any meeting unless a quorum is present in person or by proxy at the meeting.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Company has only one Member: that Member;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quorum is not present at the meeting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30"/>
        <w:gridCol w:w="54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was requisitioned by Members, it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case, the meeting shall stand adjourned to the same time and place seven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1559" w:right="0" w:hanging="71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230"/>
        <w:gridCol w:w="6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participate in the business for which the meeting has been convened; and</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245"/>
        <w:gridCol w:w="31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hear all that happens at the meeting.</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380"/>
        <w:gridCol w:w="156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485"/>
        <w:gridCol w:w="566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485"/>
        <w:gridCol w:w="875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11.12</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equality of votes, the Chairman of the meeting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section 60(1) of the Act, Members may pass a Special Resolution in writing without holding a meeting if the following conditions are met: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Members entitled to vote on the resolution are given notice of the resolution as if the same were being proposed at a meeting of Members;</w:t>
            </w:r>
          </w:p>
        </w:tc>
      </w:tr>
    </w:tbl>
    <w:p>
      <w:pPr>
        <w:pStyle w:val="TextBody"/>
        <w:bidi w:val="0"/>
        <w:spacing w:before="0" w:after="0"/>
        <w:ind w:left="710" w:right="0" w:hanging="710"/>
        <w:jc w:val="righ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245"/>
        <w:gridCol w:w="2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720" w:right="0" w:hanging="708"/>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485"/>
        <w:gridCol w:w="94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11.14</w:t>
            </w:r>
          </w:p>
        </w:tc>
        <w:tc>
          <w:tcPr>
            <w:tcW w:w="9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230"/>
        <w:gridCol w:w="41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to vote on the resolution are:</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200"/>
        <w:gridCol w:w="7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given notice of the resolution as if the same were being proposed at a meeting of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notified in the same or an accompanying notice of the date by which the resolution must be passed if it is not to lapse, being a period of 7 days beginning with the date that the notice is first given;</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45"/>
        <w:gridCol w:w="46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required majority of the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5 days beginning with the date that notice of the resolution is first given and (ii) the date when the required majority have so signified their agreement to the resolution. However, the proposed written resolution lapses if it is not passed before the end of the period of 7 days beginning with the date that notice of it is first given.</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i/>
                <w:sz w:val="20"/>
              </w:rPr>
              <w:t>Notices</w:t>
            </w:r>
            <w:r>
              <w:rPr>
                <w:rFonts w:ascii="Times New Roman;Times;Serif" w:hAnsi="Times New Roman;Times;Serif"/>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485"/>
        <w:gridCol w:w="91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11.17</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11.19</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3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Voting rights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 Unless otherwise required under the Act or by these Articles, holders of Class A Ordinary Shares and Class B Ordinary Shares shall at all times vote together as one class on all resolutions submitted to a vote by the Members.</w:t>
            </w:r>
          </w:p>
        </w:tc>
      </w:tr>
    </w:tbl>
    <w:p>
      <w:pPr>
        <w:pStyle w:val="TextBody"/>
        <w:bidi w:val="0"/>
        <w:spacing w:before="0" w:after="0"/>
        <w:ind w:left="720" w:right="0" w:hanging="708"/>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380"/>
        <w:gridCol w:w="3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poll, each Class A Ordinary Share shall be entitled to one (1) vote on all matters subject to vote at general meetings of the Company, and each Class B Ordinary Share shall be entitled to ten (10) votes on all matters subject to vote at general meetings of the Company. A fraction of a Class A Ordinary Share shall entitle its holder to an equivalent fraction of one (1) vote, and a fraction of a Class B Ordinary Share shall entitle its holder to an equivalent fraction of ten</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votes.</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380"/>
        <w:gridCol w:w="953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380"/>
        <w:gridCol w:w="79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provided, a corporate Member must act by a duly authorised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i/>
                <w:sz w:val="20"/>
              </w:rPr>
              <w:t>curator bonis</w:t>
            </w:r>
            <w:r>
              <w:rPr>
                <w:rFonts w:ascii="Times New Roman;Times;Serif" w:hAnsi="Times New Roman;Times;Serif"/>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485"/>
        <w:gridCol w:w="903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instrument appointing a proxy shall be in any common form or in any other form approved by the Directors.</w:t>
            </w:r>
          </w:p>
        </w:tc>
      </w:tr>
    </w:tbl>
    <w:p>
      <w:pPr>
        <w:pStyle w:val="TextBody"/>
        <w:bidi w:val="0"/>
        <w:spacing w:before="0" w:after="0"/>
        <w:ind w:left="848" w:right="0" w:hanging="707"/>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485"/>
        <w:gridCol w:w="61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 or</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245"/>
        <w:gridCol w:w="32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Member’s authorised attorney; or</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Member is a corporation or other body corporate, under seal or signed by an authorised officer, secretary or attorney.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w:t>
            </w:r>
          </w:p>
        </w:tc>
        <w:tc>
          <w:tcPr>
            <w:tcW w:w="9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230"/>
        <w:gridCol w:w="57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instrument in writing, it must be left at or sent by post:</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00"/>
        <w:gridCol w:w="34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registered office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2267" w:right="0" w:hanging="708"/>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200"/>
        <w:gridCol w:w="3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notice convening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260"/>
        <w:gridCol w:w="75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form of appointment of a proxy sent out by the Company in relation to the meeting; or</w:t>
            </w:r>
          </w:p>
        </w:tc>
      </w:tr>
    </w:tbl>
    <w:p>
      <w:pPr>
        <w:pStyle w:val="TextBody"/>
        <w:bidi w:val="0"/>
        <w:spacing w:before="0" w:after="0"/>
        <w:ind w:left="2267" w:right="0" w:hanging="708"/>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320"/>
        <w:gridCol w:w="70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invitation to appoint a proxy issued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848" w:right="0" w:hanging="707"/>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485"/>
        <w:gridCol w:w="59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12.21</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form of appointment of proxy is not delivered on time, it is invalid.</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to vote at a meeting shall not confer any further right to speak at the meeting, except with the permission of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30"/>
        <w:gridCol w:w="17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141"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230"/>
        <w:gridCol w:w="47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4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Appointment, disqualification and removal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Directors shall be appointed in writing by the subscriber or subscribers to the Memorandum, or a majority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380"/>
        <w:gridCol w:w="70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7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a shareholding qualification for Directors is fixed by Ordinary Resolution, no Director shall be required to own Shares as a condition of his appointment.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380"/>
        <w:gridCol w:w="7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remaining Director(s)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485"/>
        <w:gridCol w:w="42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4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5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provisions in these Articles for retirement (by rotation or otherwise), a Director’s office shall be terminated forthwith if:</w:t>
            </w:r>
          </w:p>
        </w:tc>
      </w:tr>
    </w:tbl>
    <w:p>
      <w:pPr>
        <w:pStyle w:val="TextBody"/>
        <w:bidi w:val="0"/>
        <w:spacing w:before="0" w:after="0"/>
        <w:ind w:left="1559" w:right="0" w:hanging="71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prohibited by the law of the Cayman Islands from acting as a Director; or</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245"/>
        <w:gridCol w:w="75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bankrupt or makes an arrangement or composition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30"/>
        <w:gridCol w:w="40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his office by notice to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45"/>
        <w:gridCol w:w="5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only held office as a Director for a fixed term and such term expires;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opinion of a registered medical practitioner by whom he is being treated he becomes physically or mentally incapable of acting as a Director;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45"/>
        <w:gridCol w:w="90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consent of the other Directors, he is absent from meetings of Directors for a continuous period of six months.</w:t>
            </w:r>
          </w:p>
        </w:tc>
      </w:tr>
    </w:tbl>
    <w:p>
      <w:pPr>
        <w:pStyle w:val="TextBody"/>
        <w:bidi w:val="0"/>
        <w:spacing w:before="0" w:after="0"/>
        <w:ind w:left="141"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30"/>
        <w:gridCol w:w="16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Alternate Directors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5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of appointment or removal of an alternate Director shall be effective only if given to the Company by one or more of the following methods:</w:t>
            </w:r>
          </w:p>
        </w:tc>
      </w:tr>
    </w:tbl>
    <w:p>
      <w:pPr>
        <w:pStyle w:val="TextBody"/>
        <w:bidi w:val="0"/>
        <w:spacing w:before="0" w:after="0"/>
        <w:ind w:left="1559" w:right="0" w:hanging="71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230"/>
        <w:gridCol w:w="72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notice in writing in accordance with the notice provisions contained in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380"/>
        <w:gridCol w:w="91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notices of meetings of Directors shall continue to be given to the appointing Director and not to the alternate.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30"/>
        <w:gridCol w:w="4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 who appointed him ceases to be a Director; or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5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event happens in relation to him which, if he were a Director of the Company, would cause his office as Director to be vacated.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380"/>
        <w:gridCol w:w="750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380"/>
        <w:gridCol w:w="83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expressed, an alternate Director shall be treated as a Director under these Articles.</w:t>
            </w:r>
          </w:p>
        </w:tc>
      </w:tr>
    </w:tbl>
    <w:p>
      <w:pPr>
        <w:pStyle w:val="TextBody"/>
        <w:bidi w:val="0"/>
        <w:spacing w:before="0" w:after="0"/>
        <w:ind w:left="720" w:right="0" w:hanging="708"/>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380"/>
        <w:gridCol w:w="55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485"/>
        <w:gridCol w:w="711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15.10</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485"/>
        <w:gridCol w:w="89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15.11</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30"/>
        <w:gridCol w:w="17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Powers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16.4</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chairman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245"/>
        <w:gridCol w:w="1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230"/>
        <w:gridCol w:w="24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other executive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16.8</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Secretary; and</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245"/>
        <w:gridCol w:w="27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office that may be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16.9</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16.10</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16.17</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that person, as the case may be, is lawfully required to do so under the laws of any jurisdiction to which the Company is subject; or</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45"/>
        <w:gridCol w:w="64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compliance with the Designated Stock Exchange Rules; or</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accordance with any contract entered into by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45"/>
        <w:gridCol w:w="80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of the opinion such disclosure would assist or facilitate the Company’s operations.</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30"/>
        <w:gridCol w:w="18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the Shares are listed on a Designated Stock Exchange, the Board shall, if required by the Designated Stock Exchange Rules,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committees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230"/>
        <w:gridCol w:w="6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causing the Company to enter into a power of attorney or agreement; or</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245"/>
        <w:gridCol w:w="2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any other manner they determine.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1559" w:right="0" w:hanging="71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230"/>
        <w:gridCol w:w="1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any purpose;</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245"/>
        <w:gridCol w:w="3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the powers, authorities and discretions;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period; and</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45"/>
        <w:gridCol w:w="21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such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485"/>
        <w:gridCol w:w="85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17.12</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remove any person appointed under Article 17.10 and may revoke or vary the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Meetings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141"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the Directors may regulate their proceedings as they think fit.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380"/>
        <w:gridCol w:w="68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business at a meeting of Directors shall be two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230"/>
        <w:gridCol w:w="4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 dissent is entered in the minutes of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filed with the meeting before it is concluded signed dissent from that action; or</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230"/>
        <w:gridCol w:w="89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forwarded to the Company as soon as practical following the conclusion of that meeting signed dissent.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485"/>
        <w:gridCol w:w="86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230"/>
        <w:gridCol w:w="3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39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230"/>
        <w:gridCol w:w="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4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230"/>
        <w:gridCol w:w="8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appointments of Officers and committees made by the Board and of any such Officer’s remuneration;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230"/>
        <w:gridCol w:w="16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6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380"/>
        <w:gridCol w:w="95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6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380"/>
        <w:gridCol w:w="97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30"/>
        <w:gridCol w:w="11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1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i/>
                <w:sz w:val="20"/>
              </w:rPr>
              <w:t xml:space="preserve">inter se </w:t>
            </w:r>
            <w:r>
              <w:rPr>
                <w:rFonts w:ascii="Times New Roman;Times;Serif" w:hAnsi="Times New Roman;Times;Serif"/>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this Article apply, </w:t>
            </w:r>
            <w:r>
              <w:rPr>
                <w:rFonts w:ascii="Times New Roman;Times;Serif" w:hAnsi="Times New Roman;Times;Serif"/>
                <w:i/>
                <w:sz w:val="20"/>
              </w:rPr>
              <w:t>mutatis mutandis</w:t>
            </w:r>
            <w:r>
              <w:rPr>
                <w:rFonts w:ascii="Times New Roman;Times;Serif" w:hAnsi="Times New Roman;Times;Serif"/>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30"/>
        <w:gridCol w:w="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Dividends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141"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80"/>
        <w:gridCol w:w="85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6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708"/>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Shares carrying differing rights to dividends or rights to dividends at a fixed rate, the following applies: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6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fractional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559" w:right="0" w:hanging="71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30"/>
        <w:gridCol w:w="2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 some assets in trustees.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485"/>
        <w:gridCol w:w="85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23.10</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or other monies payable on or in respect of a Share may be paid in any of the following ways: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holding that Share or other person entitled to that Share nominates a bank account for that purpose - by wire transfer to that bank account;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or warrant sent by post to the registered address of the Member holding that Share or other person entitled to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persons are registered as the holders of the Share or are jointly entitled to it by reason of the death or bankruptcy of the registered holder (</w:t>
            </w:r>
            <w:r>
              <w:rPr>
                <w:rFonts w:ascii="Times New Roman;Times;Serif" w:hAnsi="Times New Roman;Times;Serif"/>
                <w:b/>
                <w:sz w:val="20"/>
              </w:rPr>
              <w:t>Joint Holders</w:t>
            </w:r>
            <w:r>
              <w:rPr>
                <w:rFonts w:ascii="Times New Roman;Times;Serif" w:hAnsi="Times New Roman;Times;Serif"/>
                <w:sz w:val="20"/>
              </w:rPr>
              <w:t>), a dividend (or other amount) payable on or in respect of that Share may be paid as follows: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address or bank account of another person nominated by the Joint Holders, whether that nomination is in writing or in an Electronic Record.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6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485"/>
        <w:gridCol w:w="95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23.13</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Joint Holder of a Share may give a valid receipt for a dividend (or other amount) payable in respect of that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30"/>
        <w:gridCol w:w="20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380"/>
        <w:gridCol w:w="32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 of the Company’s profits not required for paying any preferential dividend (whether or not those profits are available for distribution); or</w:t>
            </w:r>
          </w:p>
        </w:tc>
      </w:tr>
    </w:tbl>
    <w:p>
      <w:pPr>
        <w:pStyle w:val="TextBody"/>
        <w:bidi w:val="0"/>
        <w:spacing w:before="0" w:after="0"/>
        <w:ind w:left="1559" w:right="0" w:hanging="711"/>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245"/>
        <w:gridCol w:w="8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sum standing to the credit of the Company’s share premium account or capital redemption reserve,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30"/>
        <w:gridCol w:w="48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paying up the amounts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sz w:val="20"/>
              </w:rPr>
              <w:t>Original Shares</w:t>
            </w:r>
            <w:r>
              <w:rPr>
                <w:rFonts w:ascii="Times New Roman;Times;Serif" w:hAnsi="Times New Roman;Times;Serif"/>
                <w:sz w:val="20"/>
              </w:rPr>
              <w:t>) rank for dividend only to the extent that the Original Shares rank for dividend while those Original Shares remain Partly Paid Up.</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380"/>
        <w:gridCol w:w="579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redemption or purchase of a Share, the difference between the nominal value of that Share and the redemption or purchase price; and</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245"/>
        <w:gridCol w:w="64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amount paid out of a share premium account as permitted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141"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75"/>
        <w:gridCol w:w="230"/>
        <w:gridCol w:w="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Seal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141"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380"/>
        <w:gridCol w:w="4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26.1</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245"/>
        <w:gridCol w:w="30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 single Director (or his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380"/>
        <w:gridCol w:w="89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do not adopt a seal, or a seal is not used, a document may be executed in the following manner:</w:t>
            </w:r>
          </w:p>
        </w:tc>
      </w:tr>
    </w:tbl>
    <w:p>
      <w:pPr>
        <w:pStyle w:val="TextBody"/>
        <w:bidi w:val="0"/>
        <w:spacing w:before="0" w:after="0"/>
        <w:ind w:left="1559" w:right="0" w:hanging="71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45"/>
        <w:gridCol w:w="32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 or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permitted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80"/>
        <w:gridCol w:w="59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seal or a duplicate seal need not be affixed manually but may be affixed by some other method or system of reproduction;</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45"/>
        <w:gridCol w:w="9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signature required by these Articles need not be manual but may be a mechanical or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5"/>
        <w:gridCol w:w="230"/>
        <w:gridCol w:w="9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the Company’s business or affairs or int he execution or discharge of the existing or former Director’s (including alternate Director’s), Secretary’s or Officer’s duties, powers, authorities or discretions;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1559" w:right="0" w:hanging="711"/>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230"/>
        <w:gridCol w:w="75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existing or former Director (including alternate Director), Secretary or Officer or auditor of:</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00"/>
        <w:gridCol w:w="11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60"/>
        <w:gridCol w:w="462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which is or was a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320"/>
        <w:gridCol w:w="71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in which the Company has or had an interest (whether direct or indirect); and</w:t>
            </w:r>
          </w:p>
        </w:tc>
      </w:tr>
    </w:tbl>
    <w:p>
      <w:pPr>
        <w:pStyle w:val="TextBody"/>
        <w:bidi w:val="0"/>
        <w:spacing w:before="0" w:after="0"/>
        <w:ind w:left="2267"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trustee of an employee or retirement benefits scheme or other trust in which any of the persons referred to in paragraph (a) is or was interested.</w:t>
            </w:r>
          </w:p>
        </w:tc>
      </w:tr>
    </w:tbl>
    <w:p>
      <w:pPr>
        <w:pStyle w:val="TextBody"/>
        <w:bidi w:val="0"/>
        <w:spacing w:before="0" w:after="0"/>
        <w:ind w:left="141"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30"/>
        <w:gridCol w:w="6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Notices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1559" w:right="0" w:hanging="711"/>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30"/>
        <w:gridCol w:w="7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writing signed by or on behalf of the giver in the manner set out below for written notices;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 these Articles expressly permit, by the Company by means of a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380"/>
        <w:gridCol w:w="58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30"/>
        <w:gridCol w:w="4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so resolve or otherwise accept the notice;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the Member have agreed to his having access to the notice or document on a website (instead of it being sent to him);</w:t>
            </w:r>
          </w:p>
        </w:tc>
      </w:tr>
    </w:tbl>
    <w:p>
      <w:pPr>
        <w:pStyle w:val="TextBody"/>
        <w:bidi w:val="0"/>
        <w:spacing w:before="0" w:after="0"/>
        <w:ind w:left="710" w:right="0" w:hanging="710"/>
        <w:jc w:val="righ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45"/>
        <w:gridCol w:w="51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one to which that agreement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559" w:right="0" w:hanging="711"/>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200"/>
        <w:gridCol w:w="45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publication of the notice or document on a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60"/>
        <w:gridCol w:w="2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that website; and</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20"/>
        <w:gridCol w:w="86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on that website where the notice or document may be accessed, and how it may be accessed;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Members are joint holders of a Share, all notices shall be given to the Member whose name first appears in the register of Members.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485"/>
        <w:gridCol w:w="52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28.10</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an address has been supplied, a notice may be given in any manner in which it might have been given if the death or bankruptcy had not occurred.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485"/>
        <w:gridCol w:w="500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28.16</w:t>
            </w:r>
          </w:p>
        </w:tc>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is given on the date identified in the following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75" w:type="dxa"/>
          <w:bottom w:w="28" w:type="dxa"/>
          <w:right w:w="28"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7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141"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230"/>
        <w:gridCol w:w="32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Authentication of Electronic Records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Member or each Member,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559" w:right="0" w:hanging="71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Secretary or the Officer or each Officer,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the Secretary or one or more of those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7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230"/>
        <w:gridCol w:w="93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signature of the signatory has been altered after the signatory had signed the original document;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230"/>
        <w:gridCol w:w="61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otherwise doubts the authenticity of the Electronic Record of the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708"/>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230"/>
        <w:gridCol w:w="2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380"/>
        <w:gridCol w:w="9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Cayman Islands; or</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45"/>
        <w:gridCol w:w="74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jurisdiction in which it is, for the time being, incorporated, registered or existing.</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7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380"/>
        <w:gridCol w:w="899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resolution made pursuant to the preceding Article, the Directors may cause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such further steps as they consider appropriate to be taken to effect the transfer by way of continuation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230"/>
        <w:gridCol w:w="1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Members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380"/>
        <w:gridCol w:w="692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380"/>
        <w:gridCol w:w="49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141"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230"/>
        <w:gridCol w:w="36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3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Amendment of Memorandum and Articles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30"/>
        <w:gridCol w:w="16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its name;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provisions of its Memorandum with respect to its objects, powers or any other matter specified in the Memorandum.</w:t>
            </w:r>
          </w:p>
        </w:tc>
      </w:tr>
    </w:tbl>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7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1" w:name="b_002"/>
      <w:bookmarkEnd w:id="31"/>
      <w:r>
        <w:rPr>
          <w:rFonts w:ascii="Times New Roman;Times;Serif" w:hAnsi="Times New Roman;Times;Serif"/>
          <w:b/>
          <w:i w:val="false"/>
          <w:caps w:val="false"/>
          <w:smallCaps w:val="false"/>
          <w:sz w:val="20"/>
        </w:rPr>
        <w:t>Annex B1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6991350" cy="90487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5"/>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FRANCISCO V. AGUILAR Secretary of State 401 North Carson Street Carson City, Nevada 89701-4201 (775) 684-5708 Website: www.nvsos.gov www.nvsilverflume.gov ABOVE SPACE IS FOR OFFICE USE ONLY Formation - Profit Corporation NRS 78 - Articles of Incorporation Domestic Corporation NRS 80 - Foreign Corporation NRS 89 - Articles of Incorporation Professional Corporation 78A Formation - Close Corporation (Name of Close Corporation MUST appear in the below heading) Articles of Formation of ______________________________________________ a close corporation (NRS 78A) TYPE OR PRINT - USE DARK INK ONLY - DO NOT HIGHLIGHT 1. Name of Entity: (If foreign, name in home jurisdiction) Commercial Registered Agent:(name only below) Noncommercial Registered Agent (name and address below) Office or Position with Entity (title and address below) Name of Registered Agent OR Title of Office or Position with Entity Nevada Street Address City Zip Code Nevada Mailing Address (if different from street address) City Zip Code 4. Names and Addresses of the Board of Directors/ Trustees or Stockholders (NRS 78: Board of Directors/ Trustees is required. NRS 78a: Required if the Close Corporation is governed by a board of directors. NRS 89: Required to have the Original stockholders and directors. A certificate from the regulatory board must be submitted showing that each individual is licensed at the time of filing. See instructions) 3. Governing Board: (NRS 78A, close corporation only, check one box; if yes, complete article 4 below) 1) Name Street Address City 2) Name Street Address City 2. Registered Agent for Service of Process: (Check only one box) 2a. Certificate of Acceptance of Appointment of Registered Agent: I hereby accept appointment as Registered Agent for the above named Entity. If the registered agent is unable to sign the Articles of Incorporation, submit a separate signed Registered Agent Acceptance form. X __________________________________________________________________________ Authorized Signature of Registered Agent or On Behalf of Registered Agent Entity Date 3) Street Address City Name This corporation is a close corporation operating with a board of directors Yes OR No State Zip/Postal Code 5b. I declare this entity is in good standing in the jurisdiction of its incorporation. 5. Jurisdiction of Incorporation: (NRS 80 only) 5a. Jurisdiction of incorporation: Country State Zip/Postal Code Country State Zip/Postal Code Country This form must be accompanied by appropriate fees. Page 1 of 2 Revised: 5/22/2024 NRS 80 - Foreign Corporation Professional Corporation Universal Registered Agents, Inc. Etoiles Capital Group Co., Ltd. 321 West Winnie Lane #104 Carson City 89703 Kit Shing, CHEUNG Hong Kong Unit 03-04, 25/F, Cosco Tower, 183 Queen’s Road Central Sheung Wan 0000 Wesley CHU Hong Kong Unit 03-04, 25/F, Cosco Tower, 183 Queen's Road Central Sheung Wan 0000 Yeung Tak, CHEN Hong Kong Unit 03-04, 25/F, Cosco Tower, 183 Queen's Road Central Sheung Wan 0000</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6"/>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 xml:space="preserve">FRANCISCO V. AGUILAR Secretary of State 401 North Carson Street Carson City, Nevada 89701-4201 (775) 684-5708 Website: www.nvsos.gov www.nvsilverflume.gov Formation </w:t>
        <w:softHyphen/>
        <w:t xml:space="preserve"> Profit Corporation Continued, Page 2 By selecting "Yes" you are indicating that the corporation is organized as a benefit corporation pursuant to NRS Chapter 78B with a purpose of creating a general or specific public benefit. The purpose for which the benefit corporation is created must be disclosed in the below purpose field. Yes Number of Authorized shares with Par value: Number of Common shares with Par value: Number of Preferred shares with Par value: Number of shares with no par value: If more than one class or series of stock is authorized, please attach the information on an additional sheet of paper. Par value: $ Par value: $ 6. Benefit Corporation: (For NRS 78, NRS 78A, and NRS 89, optional. See instructions.) 7. Purpose/Profession to be practiced: (Required for NRS 80, NRS 89 and any entity selecting Benefit Corporation. See instructions.) 8. Authorized Shares: (Number of shares corporation is authorized to issue NRS 80: Must include copy of the most recently filed in home jurisdiction setting forth the authorized stock of the corporation.)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X _________________________________________ Name 9. Name and Signature of: Officer making the statement or Authorized Signer for NRS 80. Name, Address and Signature of the Incorporator for NRS 78, 78A, and 89. NRS 89 - Each Organizer/ Incorporator must be a licensed professional. City State Zip/Postal Code Please include any required or optional information in space below: (attach additional page(s) if necessary) AN INITIAL LIST OF OFFICERS MUST ACCOMPANY THIS FILING Country (attach additional page if necessary) Address This form must be accompanied by appropriate fees. Page 2 of 2 Revised: 5/21/2024 Par value: $ Foreign Corporations, NRS 80 only: This is a corporation is a non-stock corporation. This is a corporation is a unlimited stock corporation Please indicate the break down of all corporate shares and the par value. 0.0001 450,000,000 All legal acts. 450,000,000 0.0001 0 0 Kit Shing, CHEUNG Hong Kong Unit 03-04, 25/F, Cosco Tower, 183 Queen's Road Central Sheung Wan 0000 Addendum Attached. 450,000,000 0.0001</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7"/>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Initial List of Officers, Managers, Members, General Partners, Managing Partners, or Trustees: NAME OF ENTITY TYPE OR PRINT ONLY - USE DARK INK ONLY - DO NOT HIGHLIGHT IMPORTANT: Read instructions before completing and returning this form. Please indicate the entity type (check only one): Corporation This corporation is publicly traded, the Central Index Key number is: Nonprofit Corporation (see nonprofit sections below) Limited-Liability Company Limited Partnership Limited-Liability Partnership Limited-Liability Limited Partnership (If formed at the same time as the Limited Partnership) Business Trust Additional Officers, Managers, Members, General Partners, Managing Partners, Trustees or Subscribers, may be listed on a supplemental page. CHECK ONLY IF APPLICABLE Pursuant to NRS Chapter 76, this entity is exempt from the business license fee. 001 - Governmental Entity 006 - NRS 680B.020 Insurance Co, provide license or certificate of authority number For nonprofit entities formed under NRS Chapter 80: entities without 501(c) nonprofit designation are required to maintain a state business license, the fee is $200.00. Those claiming an exemption under 501(c) designation must indicate by checking box below. Pursuant to NRS Chapter 76, this entity is a 501(c) nonprofit entity and is exempt from the business license fee. Exemption code 002 For nonprofit entities formed under NRS Chapter 81: entities which are Unit-owners' association or Religious, charitable, fraternal or other organization that qualifies as a tax-exempt organization pursuant to 26 U.S.C. § 501(c) are excluded from the requirement to obtain a state business license. Please indicate below if this entity falls under one of these categories by marking the appropriate box. If the entity does not fall under either of these categories please submit $200.00 for the state business license. Unit-owners' Association Religious, charitable, fraternal or other organization that qualifies as a tax-exempt organization pursuant to 26 U.S.C. § 501(c) For nonprofit entities formed under NRS Chapter 82 and 80: Charitable Solicitation Information - check applicable box Does the Organization intend to solicit charitable or tax deductible contributions? No – no additional form is required Yes – the "Charitable Solicitation Registration Statement" is required. The Organization claims exemption pursuant to NRS 82A.210 - the "Exemption From Charitable Solicitation Registration Statement" is required ** Failure to include the required statement form will result in rejection of the filing and could result in late fees.** Page 1 of 2 Revised: 8/1/2023 FRANCISCO V. AGUILAR Secretary of State 401 North Carson Street Carson City, Nevada 89701-4201 (775) 684-5708 Website: www.nvsos.gov www.nvsilverflume.gov Etoiles Capital Group Co., Ltd. 0002058349</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8"/>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 Continued Officers, Managers, Members, General Partners, Managing Partners or Trustees: None of the officers or directors identified in the list of officers has been identified with the fraudulent intent of concealing the identity of any person or persons exercising the power or authority of an officer or director in furtherance of any unlawful conduct.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Signature of Officer, Manager, Managing Title Date Member, General Partner, Managing Partner, Trustee, Member, Owner of Business, Partner or Authorized Signer FORM WILL BE RETURNED IF UNSIGNED. Page 2 of 2 Revised: 8/1/2023 X FRANCISCO V. AGUILAR Secretary of State 401 North Carson Street Carson City, Nevada 89701-4201 (775) 684-5708 Website: www.nvsos.gov www.nvsilverflume.gov Chief Executive Officer Kit Shing, CHEUNG Hong Kong Unit 03-04, 25/F, Cosco Tower, 183 Queen's Road Central Sheung Wan 0000 Chief Financial Officer Hon Fai, TAM Hong Kong Unit 03-04, 25/F, Cosco Tower, 183 Queen's Road Central Sheung Wan 0000 Chief Financial Officer Hon Fai, TAM Hong Kong Unit 03-04, 25/F, Cosco Tower, 183 Queen's Road Central Sheung Wan 0000 Kit Shing, CHEUNG Hong Kong Unit 03-04, 25/F, Cosco Tower, 183 Queen's Road Central Sheung Wan 0000 Chief Executive Officer</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bookmarkStart w:id="32" w:name="b_005"/>
      <w:bookmarkEnd w:id="32"/>
      <w:r>
        <w:rPr>
          <w:rFonts w:ascii="Times New Roman;Times;Serif" w:hAnsi="Times New Roman;Times;Serif"/>
          <w:b/>
          <w:i w:val="false"/>
          <w:caps w:val="false"/>
          <w:smallCaps w:val="false"/>
          <w:sz w:val="20"/>
        </w:rPr>
        <w:t>Annex B2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ARTICLES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of Etoiles Capital Group Co., Ltd (the “Corporation”) are hereby supplemented with the following additions to Articles 8-9 and the addition of Articles 10-14.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authority to issue 450,000,000 common voting shares having a par value of $0.0001 per share (“Common Stock”). All Common Stock of the Corporation shall be of the same class and shall have the same rights and preferences. Fully-paid stock of the Corporation shall not be liable to any further call or assessment.</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governing board of this Corporation shall be known as directors. The number of directors shall be not less than one (1) nor more than fifteen (15) and may from time-to-time be increased or decreased in such manner as shall be provided in the bylaws of this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liability of the directors and officers of the Corporation is hereby eliminated to the fullest extent permitted by the provisions of the Nevada Revised Statues and particularly Section 78.138(7) thereof, as the same may be amended and supplemented from time-to-time.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Nevada Revised Statutes, as the same exist or may be amended, the Corporation shall indemnify and advance expenses to any person who incurs expenses or liabilities for any action taken, or any failure to take any action, while serving as a director or officer of the Corporation, or while serving at the request of the Corporation as a director, officer, partner, trustee, manager, employee, or agent of another foreign or domestic corporation, partnership, limited liability company, joint venture, trust, employee benefit plan, or other entity. The foregoing indemnification and advancement of expenses shall be mandatory in all circumstances in which the same are permitted by law. No repeal, amendment, or modification of this article, whether direct or indirect, shall eliminate or reduce its effect with respect to any matter giving rise to indemnification and advancement of expenses occurring prior to such repeal, amendment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Sections 78.378 through 78.3793,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12 shall apply to or have any effect on any transaction involving acquisition of control by any person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 78.411 through 78.444,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10 shall apply to or have any effect on any transaction with an interested stockholder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any of the provisions of these Articles of Incorporation may be amended, altered, or repealed, and other provisions authorized by the laws of the State of Nevada at the time in force may be added or inserted in the manner and at the time prescribed by such laws, and all rights at any time conferred upon the stockholders of the Corporation by these Articles of Incorporation are granted subject to the provisions of this Article 14.</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shall have the power to make, alter, amend, or repeal the bylaws of the Corporation, except to the extent that the bylaws otherwise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3" w:name="b_003"/>
      <w:bookmarkEnd w:id="33"/>
      <w:r>
        <w:rPr>
          <w:rFonts w:ascii="Times New Roman;Times;Serif" w:hAnsi="Times New Roman;Times;Serif"/>
          <w:b/>
          <w:i w:val="false"/>
          <w:caps w:val="false"/>
          <w:smallCaps w:val="false"/>
          <w:sz w:val="20"/>
        </w:rPr>
        <w:t>Annex C</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br/>
        <w:t>OF</w:t>
        <w:b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on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 xml:space="preserve"> The registered office and registered agent of Etoiles Capital Group Co., Ltd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shall be as from time to time set forth in the Corporation’s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Other Offices.</w:t>
      </w:r>
      <w:r>
        <w:rPr>
          <w:rFonts w:ascii="Times New Roman;Times;Serif" w:hAnsi="Times New Roman;Times;Serif"/>
          <w:b w:val="false"/>
          <w:i w:val="false"/>
          <w:caps w:val="false"/>
          <w:smallCaps w:val="false"/>
          <w:sz w:val="20"/>
        </w:rPr>
        <w:t xml:space="preserve"> The Corporation may also have offices at such other places, both within and without the State of Nevada, as the Board of Directors may from time to time determine or the business of the Corporation may require.</w:t>
      </w:r>
    </w:p>
    <w:p>
      <w:pPr>
        <w:pStyle w:val="TextBody"/>
        <w:bidi w:val="0"/>
        <w:spacing w:before="0" w:after="0"/>
        <w:ind w:left="90" w:right="0" w:hanging="0"/>
        <w:jc w:val="center"/>
        <w:rPr>
          <w:caps/>
        </w:rPr>
      </w:pPr>
      <w:r>
        <w:rPr>
          <w:caps/>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STOCKHOLDERS’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stockholders may be held at such time and place, within or without the State of Nevada, as shall be stated in the notice of the meeting or in a duly executed waiver of notice thereof. Stockholders and certain other persons permitted by the Corporation to attend a meeting of stockholders may participate in the meeting through remote communication, including, without limitation, electronic communications, videoconferencing, teleconferencing or other available technology, if the Corporation has implemented reasonable measures to (a) verify the identity of each person participating through such means as a stockholder or permitted person and (b) provide the stockholders a reasonable opportunity to participate in the meeting and to vote on matters submitted to the stockholders, including an opportunity to communicate, and to read or hear the proceedings of the meetings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Annual Meeting.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Nevada Revised Statutes, (iii) if the stockholder, or the beneficial owner on whose behalf any such proposal or nomination is made, has provided the Corporation with a Solicitation Notice (as defined in this Section),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by registered mail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received (i) not earlier than the close of business on the one hundred twentieth (120th) day prior to the currently proposed annual meeting and not later than the close of business on the later of the ninetieth (90th) day prior to such annual meeting or (ii) by the tenth (10th) business day following the day on which public announcement of the date of such meeting is first made, whichever of (i) or (ii) occurs first. In the event that an annual meeting has not been previously held, notice by the stockholder to be timely must be so received not later than the close of business on the tenth (10th) business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Times New Roman;Times;Serif" w:hAnsi="Times New Roman;Times;Serif"/>
          <w:b/>
          <w:i w:val="false"/>
          <w:caps w:val="false"/>
          <w:smallCaps w:val="false"/>
          <w:sz w:val="20"/>
        </w:rPr>
        <w:t>Solicitation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Only such persons who are nominated in accordance with the procedures set forth in this Section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Corporation’s proxy statement pursuant to Rule 14a-8 under the 1934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Section, “public announcement” shall mean disclosure in a press release reported by the Dow Jones News Service, Associated Press, Accesswire, Market Wire or comparable national news service or in a document publicly filed by the Corporation with the Securities and Exchange Commission pursuant to Section 13, 14 or 15(d)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stockholders, for any purpose or purposes, unless otherwise prescribed by law, by the Articles of Incorporation or by these Bylaws, may be called by the Chairman of the Board of Directors, the Chief Executive Officer or the President, or shall be called by any of the foregoing at the request in writing of a majority of the Board of Directors. Such request shall state the purpose or purposes of the proposed meeting. Business transacted at all special meetings shall be confined to the purposes stated in the notice of the meeting unless all stockholders entitled to vote are present and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Notice of Meetings.</w:t>
      </w:r>
      <w:r>
        <w:rPr>
          <w:rFonts w:ascii="Times New Roman;Times;Serif" w:hAnsi="Times New Roman;Times;Serif"/>
          <w:b w:val="false"/>
          <w:i w:val="false"/>
          <w:caps w:val="false"/>
          <w:smallCaps w:val="false"/>
          <w:sz w:val="20"/>
        </w:rPr>
        <w:t xml:space="preserve"> Written notice stating (a) the date and time of the meeting, (b) the means of remote communication, if any, by which stockholders and proxies shall be deemed to be present in person and vote at the meeting, (c) unless the meeting is to be held solely by remote communication, the physical location of the meeting, and (d) except in the case of the annual meeting, the purpose or purposes for which the meeting is called, must be delivered personally, mailed postage prepaid or delivered as provided in Section 7.1 to each stockholder of record entitled to vote at the meeting not less than ten (10) nor more than sixty (60) days before the meeting. If mailed, it must be directed to the stockholder at his or her address as it appears upon the records of the Corporation. Without limiting the foregoing, to the extent permitted by NRS 78.370(9), the Corporation may satisfy applicable notice requirements through the timely filing of a proxy statement or amendment thereto pursuant to Section 14(a)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Quorum; Adjournment.</w:t>
      </w:r>
      <w:r>
        <w:rPr>
          <w:rFonts w:ascii="Times New Roman;Times;Serif" w:hAnsi="Times New Roman;Times;Serif"/>
          <w:b w:val="false"/>
          <w:i w:val="false"/>
          <w:caps w:val="false"/>
          <w:smallCaps w:val="false"/>
          <w:sz w:val="20"/>
        </w:rPr>
        <w:t xml:space="preserve"> At all meetings of the stockholders, the presence in person or by proxy of the holders of one-third of the shares issued and outstanding and entitled to vote shall be necessary and sufficient to constitute a quorum for the transaction of business, except as otherwise provided by law, by the Articles of Incorporation or by these Bylaws. If a meeting of stockholders is adjourned, notice of the following information need not be delivered if the information is announced at the meeting at which the adjournment is taken: (a) the date and time of the adjourned meeting; (b) the means of remote communication, if any, by which stockholders and proxies shall be deemed to be present in person and vote at the adjourned meeting; and (c) unless the adjourned meeting is to be held solely by remote communication, the physical location of the adjourned meeting. If a new record date is fixed for an adjourned or postponed meeting, notice of the adjourned or postponed meeting must be delivered to each stockholder of record as of the new record date. At such adjourned meeting at which a quorum shall be present or represented, any business may be transacted which might have been transacted at the meeting as originally notified.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Voting.</w:t>
      </w:r>
      <w:r>
        <w:rPr>
          <w:rFonts w:ascii="Times New Roman;Times;Serif" w:hAnsi="Times New Roman;Times;Serif"/>
          <w:b w:val="false"/>
          <w:i w:val="false"/>
          <w:caps w:val="false"/>
          <w:smallCaps w:val="false"/>
          <w:sz w:val="20"/>
        </w:rPr>
        <w:t xml:space="preserve"> Each outstanding share of the Corporation’s capital stock shall be entitled to one vote on each matter submitted to a vote at a meeting of stockholders, except to the extent that the voting rights of the shares of any class or classes are otherwise provided by applicable law or the Articles of Incorporation. When a quorum is present at any meeting of the Corporation’s stockholders, action by the stockholders on a matter other than the election of directors is approved if the number of votes cast in favor of the action exceeds the number of votes cast in opposition to the action, unless the question is one upon which, by express provision of law, the Articles of Incorporation or these Bylaws, a different vote is required, in which case such express provision shall govern and control the decision of such question. Voting for directors shall be in accordance with Section 3.2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Proxies.</w:t>
      </w:r>
      <w:r>
        <w:rPr>
          <w:rFonts w:ascii="Times New Roman;Times;Serif" w:hAnsi="Times New Roman;Times;Serif"/>
          <w:b w:val="false"/>
          <w:i w:val="false"/>
          <w:caps w:val="false"/>
          <w:smallCaps w:val="false"/>
          <w:sz w:val="20"/>
        </w:rPr>
        <w:t xml:space="preserve"> Each stockholder entitled to vote at a meeting of stockholders or to express consent or dissent to corporate action in writing without a meeting may authorize another person or persons to act for such stockholder by proxy. Without limiting the manner in which a stockholder may authorize another person or persons to act for him or her as proxy, a stockholder may sign a writing authorizing another person or persons to act for him or her as proxy. Any copy, communication by electronic transmission or other reliable reproduction of the writing may be substituted for the original writing for any purpose for which the original writing could be used, if the copy, communication by electronic transmission or other reproduction is a complete reproduction of the entire original writing. Except as otherwise provided below, no such proxy is valid after the expiration of six (6) months from the date of its creation unless the stockholder specifies in it the length of time for which it is to continue in force, which may not exceed seven (7) years from the date of its creation. A proxy shall be deemed irrevocable if the written authorization states that the proxy is irrevocable, but is irrevocable only for as long as it is coupled with an interest sufficient in law to support an irrevocable power. Unless otherwise provided in the proxy, a proxy made irrevocable is revoked when the interest with which it is coupled is extinguished, but the Corporation may honor the proxy until notice of the extinguishment of the proxy is received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Record Date; Closing Transfer Books.</w:t>
      </w:r>
      <w:r>
        <w:rPr>
          <w:rFonts w:ascii="Times New Roman;Times;Serif" w:hAnsi="Times New Roman;Times;Serif"/>
          <w:b w:val="false"/>
          <w:i w:val="false"/>
          <w:caps w:val="false"/>
          <w:smallCaps w:val="false"/>
          <w:sz w:val="20"/>
        </w:rPr>
        <w:t xml:space="preserve"> The Board of Directors may fix in advance a record date for the purpose of determining stockholders entitled to notice of or to vote at a meeting of stockholders, such record date to be not less than ten (10) nor more than sixty (60) days prior to such meeting, or the Board of Directors may close the stock transfer books for such purpose for a period of not less than ten (10) nor more than sixty (60) days prior to such meeting. If a record date for a meeting of stockholders is not fixed by the Board of Directors, the record date is at the close of business on the day before the day on which the first notice is given or, if notice is waived, at the close of business on the day before the meeting is held. A determination of stockholders of record entitled to notice of or to vote at a meeting of stockholders applies to any adjournment or postponement of the meeting unless the Board of Directors fixes a new record date for the adjourned or postponed meeting. The Board of Directors must fix a new record date if the meeting is adjourned or postponed to a date more than 60 days later than the meeting date set for the original meeting. With respect to stockholder action by written consent, the Board of Directors may fix a record date for determining the stockholders entitled to consent to corporate action in writing without a meeting in the manner and within the period prescribed by the NRS 78.350(6). If the Board of Directors does not fix such a record date, the record date shall be determined in accordance with the NRS 78.350(7).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by law, the Articles of Incorporation or these Bylaws to be taken at a meeting of the stockholders of the Corporation may be taken without a meeting if a consent or consents in writing, setting forth the action so taken, shall be signed by stockholders holding at least a majority of the voting power; provided that if a different proportion of voting power is required for such an action at a meeting, then that proportion of written consents is required.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 xml:space="preserve"> The business and affairs of the Corporation shall be managed by or under the direction of the Board of Directors, who may exercise all such powers of the Corporation and do all such lawful acts and things as are not by law, the Articles of Incorporation, a stockholders’ agreement or these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Qualification; Election; Term.</w:t>
      </w:r>
      <w:r>
        <w:rPr>
          <w:rFonts w:ascii="Times New Roman;Times;Serif" w:hAnsi="Times New Roman;Times;Serif"/>
          <w:b w:val="false"/>
          <w:i w:val="false"/>
          <w:caps w:val="false"/>
          <w:smallCaps w:val="false"/>
          <w:sz w:val="20"/>
        </w:rPr>
        <w:t xml:space="preserve"> None of the directors need be a stockholder of the Corporation or a resident of the State of Nevada. The directors shall be elected by plurality vote at the annual meeting of the stockholders, except as hereinafter provided, and each director elected shall hold office until his successor shall be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xml:space="preserve"> The number of directors of the Corporation shall be fixed as the Board of Directors may from time to time designate. No decrease in the number of directors shall have the effect of shortening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director may resign at any time by delivering written notice to the Board of Directors, the Chairman of the Board or the Secretary. Such resignation shall be effective upon receipt unless the notice specifies a later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director may be removed either for or without cause only by the affirmative vote of stockholders representing not less than two-thirds of the voting power of the issued and outstanding stock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Vacancies.</w:t>
      </w:r>
      <w:r>
        <w:rPr>
          <w:rFonts w:ascii="Times New Roman;Times;Serif" w:hAnsi="Times New Roman;Times;Serif"/>
          <w:b w:val="false"/>
          <w:i w:val="false"/>
          <w:caps w:val="false"/>
          <w:smallCaps w:val="false"/>
          <w:sz w:val="20"/>
        </w:rPr>
        <w:t xml:space="preserve"> All vacancies on the Board of Directors, including those caused by an increase in the number of directors, may be filled by a majority of the remaining directors, though less than a quorum. A director elected to fill a vacancy shall hold office for the remainder of the term of the directorship in which the vacancy occurred and until such director’s successor is elected and qualified, or until such director’s earlier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the Board of Directors, regular or special, may be held at such place within or without the State of Nevada as may be fixed from time to time by the Board of Directors. The members of the Board of Directors or of any committee thereof may participate in a meeting of the Board or committee through electronic communications, videoconferencing, teleconferencing or other available technology if the Corporation has implemented reasonable measures to (a) verify the identity of each person participating through such means as a director or committee member, as the case may be, and (b) provide the directors or committee members a reasonable opportunity to participate in the meeting and to vote on matters submitted to the directors or committee members, as the case may be, including an opportunity to communicate and to read or hear the proceedings of the meeting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Regular Meetings.</w:t>
      </w:r>
      <w:r>
        <w:rPr>
          <w:rFonts w:ascii="Times New Roman;Times;Serif" w:hAnsi="Times New Roman;Times;Serif"/>
          <w:b w:val="false"/>
          <w:i w:val="false"/>
          <w:caps w:val="false"/>
          <w:smallCaps w:val="false"/>
          <w:sz w:val="20"/>
        </w:rPr>
        <w:t xml:space="preserve"> Regular meetings of the Board of Directors may be held without notice at such time and place as shall from time to time be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Board of Directors may be called by the Chairman of the Board of Directors, the Chief Executive Officer or the President on oral or written notice to each director, given either personally, by telephone, by mail, by facsimile or by e-mail or other electronic transmission at least twenty-four (24) hours prior to the time of the meeting. Special meetings shall be called by the Chairman of the Board of Directors, the Chief Executive Officer, the President or the Secretary in like manner and on like notice on the written request of any director. Except as may be otherwise expressly provided by law, the Articles of Incorporation or these Bylaws, neither the business to be transacted at, nor the purpose of, any special meeting need to be specified in a notice or waiver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rPr>
        <w:t>Quorum and Voting.</w:t>
      </w:r>
      <w:r>
        <w:rPr>
          <w:rFonts w:ascii="Times New Roman;Times;Serif" w:hAnsi="Times New Roman;Times;Serif"/>
          <w:b w:val="false"/>
          <w:i w:val="false"/>
          <w:caps w:val="false"/>
          <w:smallCaps w:val="false"/>
          <w:sz w:val="20"/>
        </w:rPr>
        <w:t xml:space="preserve"> At all meetings of the Board of Directors the presence of a majority of the number of directors then in office shall be necessary and sufficient to constitute a quorum for the transaction of business, and the affirmative vote of at least a majority of the directors present at any meeting at which there is a quorum shall be the act of the Board of Directors, except as may be otherwise specifically provided by law, the Articles of Incorporation or these Bylaws. If a quorum shall not be present at any meeting of directors, the directors present thereat may adjourn the meeting from time to time without notice other than announcement at the meeting,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to be taken at any meeting of the Board of Directors or any committee thereof may be taken without a meeting by written consent in the manner and to the extent permitted by NRS 78.315,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rPr>
        <w:t>Compensation of Directors.</w:t>
      </w:r>
      <w:r>
        <w:rPr>
          <w:rFonts w:ascii="Times New Roman;Times;Serif" w:hAnsi="Times New Roman;Times;Serif"/>
          <w:b w:val="false"/>
          <w:i w:val="false"/>
          <w:caps w:val="false"/>
          <w:smallCaps w:val="false"/>
          <w:sz w:val="20"/>
        </w:rPr>
        <w:t xml:space="preserve"> Directors shall receive such compensation for their services, and reimbursement for their expenses as the Board of Directors, by resolution, shall establish; provided that nothing herein contained shall be construed to preclude any director from serving the Corporation in any other capacity and receiving compensation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rPr>
        <w:t>Committees.</w:t>
      </w:r>
      <w:r>
        <w:rPr>
          <w:rFonts w:ascii="Times New Roman;Times;Serif" w:hAnsi="Times New Roman;Times;Serif"/>
          <w:b w:val="false"/>
          <w:i w:val="false"/>
          <w:caps w:val="false"/>
          <w:smallCaps w:val="false"/>
          <w:sz w:val="20"/>
        </w:rPr>
        <w:t xml:space="preserve"> The Board of Directors may, by resolution passed by a majority of the whole Board, designate committees, each committee to consist of one or more directors of the Corporation and such other persons as appointed by the Board of Directors provided at least one member of the Board of Directors serves on such committee, which committees shall have such power and authority and shall perform such functions as may be provided in such resolution. Each committee, to the extent provided in such resolution, shall have and may exercise all of the authority of the Board of Directors in the management of the business and affairs of the Corporation, except where action of the full Board of Directors is required by statute or by the Articles of Incorporation. Unless the Board of Directors shall otherwise provide, regular meetings of the committee 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In General.</w:t>
      </w:r>
      <w:r>
        <w:rPr>
          <w:rFonts w:ascii="Times New Roman;Times;Serif" w:hAnsi="Times New Roman;Times;Serif"/>
          <w:b w:val="false"/>
          <w:i w:val="false"/>
          <w:caps w:val="false"/>
          <w:smallCaps w:val="false"/>
          <w:sz w:val="20"/>
        </w:rPr>
        <w:t xml:space="preserve"> The officers of the Corporation shall be elected by the Board of Directors and shall be a President, a Secretary, and a Chief Financial Officer, who shall serve as the Treasurer of the Corporation unless the Board of Directors appoints a separate Treasurer. The Board of Directors may also elect a Chairman of the Board, a Chief Executive Officer, and one or more Vice Presidents, Assistant Vice Presidents and Assistant Secretaries. Any two or more offices may be held by the same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Subordinate Officers.</w:t>
      </w:r>
      <w:r>
        <w:rPr>
          <w:rFonts w:ascii="Times New Roman;Times;Serif" w:hAnsi="Times New Roman;Times;Serif"/>
          <w:b w:val="false"/>
          <w:i w:val="false"/>
          <w:caps w:val="false"/>
          <w:smallCaps w:val="false"/>
          <w:sz w:val="20"/>
        </w:rPr>
        <w:t xml:space="preserve"> The Board of Directors may appoint, or may empower the Chairman of the Board of Directors, the Chief Executive Officer, or the President to appoint, such other officers as the business of the Corporation may require, each of whom shall hold office for such period, have such authority and perform such duties as are provided in these Bylaws or as the Board of Directors or such delegate may from time to time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Election and Term.</w:t>
      </w:r>
      <w:r>
        <w:rPr>
          <w:rFonts w:ascii="Times New Roman;Times;Serif" w:hAnsi="Times New Roman;Times;Serif"/>
          <w:b w:val="false"/>
          <w:i w:val="false"/>
          <w:caps w:val="false"/>
          <w:smallCaps w:val="false"/>
          <w:sz w:val="20"/>
        </w:rPr>
        <w:t xml:space="preserve"> The Board of Directors, at its first meeting after each annual meeting of stockholders, shall elect the officers, none of whom need be a member of the Board of Directors. Each officer of the Corporation shall hold office until his death, or his resignation or removal from office, or the election and qualification of his successor, whichever shall first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officer may resign at any time by giving notice in writing or by electronic transmission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officer or agent elected or appointed by the Board of Directors may be removed at any time, for or without cause, by the affirmative vote of a majority of the Board of Directors, but such removal shall be without prejudice to the contract rights, if any, of the person so removed. If the office of any officer becomes vacant for any reason, the vacancy may be filled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Duties of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Chairman of the Board of Directors</w:t>
      </w:r>
      <w:r>
        <w:rPr>
          <w:rFonts w:ascii="Times New Roman;Times;Serif" w:hAnsi="Times New Roman;Times;Serif"/>
          <w:b w:val="false"/>
          <w:i w:val="false"/>
          <w:caps w:val="false"/>
          <w:smallCaps w:val="false"/>
          <w:sz w:val="20"/>
        </w:rPr>
        <w:t>. The Chairman of the Board of Directors, when present, shall 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Chief Executive Officer</w:t>
      </w:r>
      <w:r>
        <w:rPr>
          <w:rFonts w:ascii="Times New Roman;Times;Serif" w:hAnsi="Times New Roman;Times;Serif"/>
          <w:b w:val="false"/>
          <w:i w:val="false"/>
          <w:caps w:val="false"/>
          <w:smallCaps w:val="false"/>
          <w:sz w:val="20"/>
        </w:rPr>
        <w:t>. The powers and duties of the Chief Executive Officer are: (a) to act as the general manager and chief executive officer of the Corporation and, subject to the direction of the Board of Directors, to have general supervision, direction and control of the business and affairs of the Corporation; (b) to preside at all meetings of the stockholders and, in the absence of the Chairman of the Board of Directors or if there is no Chairman of the Board of Directors, at all meetings of the Board of Directors; (c) to call meetings of the stockholders and meetings of the Board of Directors to be held at such times and, subject to the limitations prescribed by law or by these Bylaws, at such places as he or she shall deem proper; and (d) to affix the signature of the Corporation to all deeds, conveyances, mortgages, leases, obligations, bonds, certificates and other papers and instruments in writing which have been authorized by the Board of Directors or which, in the judgment of the Chief Executive Officer,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President</w:t>
      </w:r>
      <w:r>
        <w:rPr>
          <w:rFonts w:ascii="Times New Roman;Times;Serif" w:hAnsi="Times New Roman;Times;Serif"/>
          <w:b w:val="false"/>
          <w:i w:val="false"/>
          <w:caps w:val="false"/>
          <w:smallCaps w:val="false"/>
          <w:sz w:val="20"/>
        </w:rPr>
        <w:t>. The powers and duties of the President are: (a) subject to the authority granted to the Chief Executive Officer, if any, to act as the general manager of the Corporation and, subject to the control of the Board of Directors, to have general supervision, direction and control of the business and affairs of the Corporation; (b) to preside at all meetings of the stockholders and Board of Directors in the absence of the Chairman of the Board of Directors and the Chief Executive Officer or if there be no Chairman of the Board of Directors or Chief Executive Officer; and (c) to affix the signature of the Corporation to all deeds, conveyances, mortgages, leases, obligations, bonds, certificates and other papers and instruments in writing which have been authorized by the Board of Directors or which, in the judgment of the President,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 The President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Vice Presidents</w:t>
      </w:r>
      <w:r>
        <w:rPr>
          <w:rFonts w:ascii="Times New Roman;Times;Serif" w:hAnsi="Times New Roman;Times;Serif"/>
          <w:b w:val="false"/>
          <w:i w:val="false"/>
          <w:caps w:val="false"/>
          <w:smallCaps w:val="false"/>
          <w:sz w:val="20"/>
        </w:rPr>
        <w:t>.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The powers and duties of the Chief Financial Officer are: (a) to supervise and control the keeping and maintaining of adequate and correct accounts of the Corporation’s properties and business transactions, including accounts of its assets, liabilities, receipts, disbursements, gains, losses, capital surplus and shares; (b) to have the custody of all funds, securities, evidences of indebtedness and other valuable documents of the Corporation and, at his or her discretion, to cause any or all thereof to be deposited for the account of the Corporation with such depository as may be designated from time to time by the Board of Directors; (c) to receive or cause to be received, and to give or cause to be given, receipts and acquittances for moneys paid in for the account of the Corporation; (d) to disburse, or cause to be disbursed, all funds of the Corporation as may be directed by the Chief Executive Officer, the President or the Board of Directors, taking proper vouchers for such disbursements; (e) to render to the Chief Executive Officer, the President or to the Board of Directors, whenever either may require, accounts of all transactions as Chief Financial Officer and of the financial condition of the Corporation; and (f) generally to do and perform all such duties as pertain to such office and as may be required by the Board of Directors or these Bylaws. The Chief Financial Officer may direct the any Controller or any Assistant Controller to assume and perform the duties of the Chief Financial Officer in the absence or disability of the Chief Financial Officer,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The powers and duties of the Secretary are: (a) to keep a book of minutes at the principal executive office of the Corporation, or such other place as the Board of Directors may order, of all meetings of its directors and stockholders, whether regular or special, the notice thereof given, the names of those present at directors’ meetings, the number of shares present or represented at stockholders’ meetings and the proceedings thereof; (b) to keep the seal of the Corporation and to affix the same to all instruments which may require it; (c) to keep or cause to be kept at the principal executive office of the Corporation, or at the office of the transfer agent or agents, a record of the stockholders of the Corporation; (d) to keep a supply of certificates for shares of the Corporation, to fill in and sign all certificates issued or prepare the initial transaction statement or written statements for uncertificated shares, and to make a proper record of each such issuance, provided that so long as the Corporation shall have one or more duly appointed and acting transfer agents of the shares, or any class or series of shares, of the Corporation, such duties with respect to such shares shall be performed by such transfer agent or transfer agents; (e) to transfer upon the share books of the Corporation any and all shares of the Corporation, provided that so long as the Corporation shall have one or more duly appointed and acting transfer agents of the shares, or any class or series of shares, of the Corporation, such duties with respect to such shares shall be performed by such transfer agent or transfer agents; and (f) to make service and publication of all notices that may be necessary or proper and without command or direction from anyone.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Divisional and Other Officers Appointed by the Chief Executive Officer or President.</w:t>
      </w:r>
      <w:r>
        <w:rPr>
          <w:rFonts w:ascii="Times New Roman;Times;Serif" w:hAnsi="Times New Roman;Times;Serif"/>
          <w:b w:val="false"/>
          <w:i w:val="false"/>
          <w:caps w:val="false"/>
          <w:smallCaps w:val="false"/>
          <w:sz w:val="20"/>
        </w:rPr>
        <w:t xml:space="preserve"> The Chief Executive Officer, or President if there is no Chief Executive Officer, shall have the power, in the exercise of his or her discretion, to appoint additional persons to hold positions and titles such as vice president of a division of the Corporation or president of a division of the Corporation, or similar such titles, as the business of the Corporation may require, subject to such limits in appointment power as the Board of Directors may determine. The Board of Directors shall be advised of any such appointment at a meeting of the Board of Directors, and the appointment shall be noted in the minutes of the meeting. The minutes shall clearly state that such persons are non-corporate officers appointed pursuant to this Section. Each such appointee shall have such title, shall serve in such capacity and shall have such authority and perform such duties as the Chief Executive Officer or President shall determine. Appointees may hold titles such as “president” of a division or other group within the Corporation, or “vice president” of a division or other group within the Corporation. However, any such appointee, absent specific election by the Board of Directors as an elected corporate officer, (a) shall not be considered an officer elected by the Board of Directors pursuant to this Article IV and shall not have the executive powers or authority of corporate officers elected pursuant to this Article IV and (b) shall be empowered to represent himself or herself to third parties as a divisional or group vice president or other title permitted, as applicable, only, and shall be empowered to execute documents, bind the Corporation or otherwise act on behalf of the Corporation only as authorized by the Chief Executive Officer or the President or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Salaries.</w:t>
      </w:r>
      <w:r>
        <w:rPr>
          <w:rFonts w:ascii="Times New Roman;Times;Serif" w:hAnsi="Times New Roman;Times;Serif"/>
          <w:b w:val="false"/>
          <w:i w:val="false"/>
          <w:caps w:val="false"/>
          <w:smallCaps w:val="false"/>
          <w:sz w:val="20"/>
        </w:rPr>
        <w:t xml:space="preserve"> The salaries of all officers and agents of the Corporation shall be fixed by the Board of Directors or any committee of the Board, if so authorized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Employment and Other Contracts.</w:t>
      </w:r>
      <w:r>
        <w:rPr>
          <w:rFonts w:ascii="Times New Roman;Times;Serif" w:hAnsi="Times New Roman;Times;Serif"/>
          <w:b w:val="false"/>
          <w:i w:val="false"/>
          <w:caps w:val="false"/>
          <w:smallCaps w:val="false"/>
          <w:sz w:val="20"/>
        </w:rPr>
        <w:t xml:space="preserve"> The Board of Directors may authorize any officer or officers or agent or agents to enter into any contract or execute and deliver any instrument in the name or on behalf of the Corporation, and such authority may be general or confined to specific instances. The Board of Directors may, when it believes the interest of the Corporation will best be served thereby, authorize executive employment contracts which will contain such terms and conditions as the Board of Directors deems appropriate.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SHARES OF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Form of Certificates.</w:t>
      </w:r>
      <w:r>
        <w:rPr>
          <w:rFonts w:ascii="Times New Roman;Times;Serif" w:hAnsi="Times New Roman;Times;Serif"/>
          <w:b w:val="false"/>
          <w:i w:val="false"/>
          <w:caps w:val="false"/>
          <w:smallCaps w:val="false"/>
          <w:sz w:val="20"/>
        </w:rPr>
        <w:t xml:space="preserve"> The Corporation may, but is not required to, deliver to each stockholder a certificate or certificates, in such form as may be determined by the Board of Directors, representing shares to which the stockholder is entitled. Such certificates shall be consecutively numbered and shall be registered on the books and records of the Corporation or its transfer agent as they are issued. Each certificate shall state on the face thereof the holder’s name, the number, class of shares, and the par value of such shares or a statement that such shares are without par value. Each certificate shall be signed by such officer or officers, or agent or agents, as the Board of Directors may designate, and may bear facsimile signatures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Shares without Certificates.</w:t>
      </w:r>
      <w:r>
        <w:rPr>
          <w:rFonts w:ascii="Times New Roman;Times;Serif" w:hAnsi="Times New Roman;Times;Serif"/>
          <w:b w:val="false"/>
          <w:i w:val="false"/>
          <w:caps w:val="false"/>
          <w:smallCaps w:val="false"/>
          <w:sz w:val="20"/>
        </w:rPr>
        <w:t xml:space="preserve"> The Board of Directors may authorize the issuance of uncertificated shares of some or all of the shares of any or all of its classes or series. 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Section 5.1. Within a reasonable time after the issuance or transfer of uncertificated shares, the Corporation shall send the stockholder of record the written statement required by NRS 78.235. Thereafter, the Corporation shall provide any confirming statement required by NRS 78.235 within the period prescribed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Lost, Stolen or Destroyed Certificates.</w:t>
      </w:r>
      <w:r>
        <w:rPr>
          <w:rFonts w:ascii="Times New Roman;Times;Serif" w:hAnsi="Times New Roman;Times;Serif"/>
          <w:b w:val="false"/>
          <w:i w:val="false"/>
          <w:caps w:val="false"/>
          <w:smallCaps w:val="false"/>
          <w:sz w:val="20"/>
        </w:rPr>
        <w:t xml:space="preserve"> The Board of Directors may direct that a new certificate be issued, or that uncertificated shares be issued, in place of any certificate theretofore issued by the Corporation alleged to have been lost, stolen, or destroyed, upon the making of an affidavit of that fact by the person claiming the certificate to be lost, stolen, or destroyed. When authorizing such issue of a new certificate or uncertificated shares, the Board of Directors, in its discretion and as a condition precedent to the issuance thereof, may require the owner of such lost, stolen, or destroyed certificate, or his legal representative, to advertise the same in such manner as it shall require and/or to give the Corporation a bond, in such form, in such sum, and with such surety or sureties as it may direct as indemnity against any claim that may be made against the Corporation with respect to the certificate alleged to have been lost, stolen, or destroyed. When a certificate has been lost or apparently destroyed or stolen, and the holder of record fails to notify the Corporation within a reasonable time after he has notice of it, and the Corporation registers a transfer of the shares represented by the certificate before receiving such notification, the holder of record is precluded from making any claim against the Corporation for the transfer or a new certificate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Restrictions on Transfer.</w:t>
      </w:r>
      <w:r>
        <w:rPr>
          <w:rFonts w:ascii="Times New Roman;Times;Serif" w:hAnsi="Times New Roman;Times;Serif"/>
          <w:b w:val="false"/>
          <w:i w:val="false"/>
          <w:caps w:val="false"/>
          <w:smallCaps w:val="false"/>
          <w:sz w:val="20"/>
        </w:rPr>
        <w:t xml:space="preserve"> The Corporation shall have power to enter into and perform any agreement with any number of stockholders of any one or more classes of stock of the Corporation to restrict the sale, transfer, assignment, pledge, or other disposal of or encumbering of any of the shares of stock of the Corporation or any right or interest therein, whether voluntarily or by operation of law, or by gift or otherwise of shares of stock of the Corporation of any one or more classes owned by such stockholders in any manner not prohibited by the Nevada Revised Statutes.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xml:space="preserve">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Directors and Executive Officers.</w:t>
      </w:r>
      <w:r>
        <w:rPr>
          <w:rFonts w:ascii="Times New Roman;Times;Serif" w:hAnsi="Times New Roman;Times;Serif"/>
          <w:b w:val="false"/>
          <w:i w:val="false"/>
          <w:caps w:val="false"/>
          <w:smallCaps w:val="false"/>
          <w:sz w:val="20"/>
        </w:rPr>
        <w:t xml:space="preserve"> The Corporation shall indemnify its directors and executive officers (for the purposes of this Article, “executive officers” shall have the meaning defined in Rule 3b-7 promulgated under the 1934 Act) to the fullest extent not prohibited by the Nevada Revised Statutes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(a) such indemnification is expressly required to be made by law, (b) the proceeding was authorized by the Board of Directors of the Corporation, (c) such indemnification is provided by the Corporation, in its sole discretion, pursuant to the powers vested in the Corporation under the Nevada Revised Statutes or any other applicable law or (d) such indemnification is required to be made under Section 6.4.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Other Officers, Employees and Other Agents.</w:t>
      </w:r>
      <w:r>
        <w:rPr>
          <w:rFonts w:ascii="Times New Roman;Times;Serif" w:hAnsi="Times New Roman;Times;Serif"/>
          <w:b w:val="false"/>
          <w:i w:val="false"/>
          <w:caps w:val="false"/>
          <w:smallCaps w:val="false"/>
          <w:sz w:val="20"/>
        </w:rPr>
        <w:t xml:space="preserve"> The Corporation shall have power to indemnify its other officers, employees and other agents as set forth in the Nevada Revised Statutes or any other applicable law. With respect to persons other than directors and executive officers, the Board of Directors may delegate to one or more officers or other persons the authority to determine whether and to what extent indemnification shall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Nevada Revised Statutes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Notwithstanding the foregoing, unless otherwise determined pursuant to Section 6.5,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(a) by a majority vote of a quorum consisting of directors who were not parties to the proceeding, even if not a quorum, or (b) by a committee of such directors designated by a majority of such directors, even though less than a quorum, or (c)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Enforcement.</w:t>
      </w:r>
      <w:r>
        <w:rPr>
          <w:rFonts w:ascii="Times New Roman;Times;Serif" w:hAnsi="Times New Roman;Times;Serif"/>
          <w:b w:val="false"/>
          <w:i w:val="false"/>
          <w:caps w:val="false"/>
          <w:smallCaps w:val="false"/>
          <w:sz w:val="20"/>
        </w:rPr>
        <w:t xml:space="preserve"> Without the necessity of entering into an express contract, all rights to indemnification and advances to directors and executive officers under this Article VI shall be deemed to be contractual rights and be effective to the same extent and as if provided for in a contract between the Corporation and the director or executive officer. Any right to indemnification or advances granted by this Article VI to a director or executive officer shall be enforceable by or on behalf of the person holding such right in any court of competent jurisdiction if (a) the claim for indemnification or advances is denied, in whole or in part, or (b)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Nevada Revised Statutes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Nevada Revised Statutes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Non-Exclusivity of Rights.</w:t>
      </w:r>
      <w:r>
        <w:rPr>
          <w:rFonts w:ascii="Times New Roman;Times;Serif" w:hAnsi="Times New Roman;Times;Serif"/>
          <w:b w:val="false"/>
          <w:i w:val="false"/>
          <w:caps w:val="false"/>
          <w:smallCaps w:val="false"/>
          <w:sz w:val="20"/>
        </w:rPr>
        <w:t xml:space="preserve"> The rights conferred on any person by this Article VI shall not be exclusive of any other right which such person may have or hereafter acquire under any applicable statute, provision of the Articles of Incorporation, these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Nevada Revised Statutes or any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Survival of Rights.</w:t>
      </w:r>
      <w:r>
        <w:rPr>
          <w:rFonts w:ascii="Times New Roman;Times;Serif" w:hAnsi="Times New Roman;Times;Serif"/>
          <w:b w:val="false"/>
          <w:i w:val="false"/>
          <w:caps w:val="false"/>
          <w:smallCaps w:val="false"/>
          <w:sz w:val="20"/>
        </w:rPr>
        <w:t xml:space="preserve"> The rights conferred on any person by this Article VI shall continue as to a person who has ceased to be a director or executive officer and shall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The Corporation may purchase and maintain insurance or make other financial arrangements on behalf of any person whom the Corporation is authorized or required to indemnify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i w:val="false"/>
          <w:caps w:val="false"/>
          <w:smallCaps w:val="false"/>
          <w:sz w:val="20"/>
        </w:rPr>
        <w:t>Amendments.</w:t>
      </w:r>
      <w:r>
        <w:rPr>
          <w:rFonts w:ascii="Times New Roman;Times;Serif" w:hAnsi="Times New Roman;Times;Serif"/>
          <w:b w:val="false"/>
          <w:i w:val="false"/>
          <w:caps w:val="false"/>
          <w:smallCaps w:val="false"/>
          <w:sz w:val="20"/>
        </w:rPr>
        <w:t xml:space="preserve"> Any repeal or modification of this Article VI 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i w:val="false"/>
          <w:caps w:val="false"/>
          <w:smallCaps w:val="false"/>
          <w:sz w:val="20"/>
        </w:rPr>
        <w:t>Saving Clause.</w:t>
      </w:r>
      <w:r>
        <w:rPr>
          <w:rFonts w:ascii="Times New Roman;Times;Serif" w:hAnsi="Times New Roman;Times;Serif"/>
          <w:b w:val="false"/>
          <w:i w:val="false"/>
          <w:caps w:val="false"/>
          <w:smallCaps w:val="false"/>
          <w:sz w:val="20"/>
        </w:rPr>
        <w:t xml:space="preserve"> If this Article VI or any portion hereof shall be invalidated on any ground by any court of competent jurisdiction, then the Corporation shall nevertheless indemnify each director and executive officer to the full extent not prohibited by any applicable portion of this Article that shall not have been invalidated, or by any other applicable law. If this Article VI shall be invalid due to the application of the indemnification provisions of another jurisdiction, then the Corporation shall indemnify each director and executive officer to the full extent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i w:val="false"/>
          <w:caps w:val="false"/>
          <w:smallCaps w:val="false"/>
          <w:sz w:val="20"/>
        </w:rPr>
        <w:t>Certain Definitions.</w:t>
      </w:r>
      <w:r>
        <w:rPr>
          <w:rFonts w:ascii="Times New Roman;Times;Serif" w:hAnsi="Times New Roman;Times;Serif"/>
          <w:b w:val="false"/>
          <w:i w:val="false"/>
          <w:caps w:val="false"/>
          <w:smallCaps w:val="false"/>
          <w:sz w:val="20"/>
        </w:rPr>
        <w:t xml:space="preserve"> For the purposes of this Article VI, the following definitions shall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“expenses” shall include, without limitation, attorneys’ fees, retainers, court costs, transcript costs, fees and expenses of experts and witnesses, travel expenses and all other costs and expenses actually and reasonably incurred in connection with a proceeding, but shall not include judgments, fines, penalties or amounts paid in settlement except to the extent expressly provided elsewhere in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Form of Notice.</w:t>
      </w:r>
      <w:r>
        <w:rPr>
          <w:rFonts w:ascii="Times New Roman;Times;Serif" w:hAnsi="Times New Roman;Times;Serif"/>
          <w:b w:val="false"/>
          <w:i w:val="false"/>
          <w:caps w:val="false"/>
          <w:smallCaps w:val="false"/>
          <w:sz w:val="20"/>
        </w:rPr>
        <w:t xml:space="preserve"> Notices shall be given in accordance with NRS 75.150, as amended from time to time. Whenever required by law, the Articles of Incorporation, or these Bylaws, notice is to be given to any director or stockholder, and no provision is made as to how such notice shall be given, such notice may be given in writing, by mail, postage prepaid, addressed to such director or stockholder at such address as appears on the books and records of the Corporation or its transfer agent. A notice or other communication may also be delivered by electronic transmission if the electronic transmission contains or is accompanied by information from which the recipient can determine the date of the transmission. Unless otherwise agreed between sender and recipient, an electronic transmission is received when it enters an information processing system that the recipient has designated or uses for the purpose of receiving electronic transmissions or information of the type sent and it is in a form ordinarily capable of being processed by that system. Except as otherwise provided by these Bylaws or Chapter 75 of the NRS, any notice or other communication, if in a comprehensible form or manner, is effective at the earliest of the following: (a) if in a physical form, when it is left at the address of a director or stockholder as it appears upon the records of the Corporation, the residence or usual place of business of a director or stockholder or the stockholder’s principal place of business; (b) if mailed by United States mail postage prepaid and correctly addressed to a director or stockholder, upon deposit in the United States mail; or (c) if oral, when communicated.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xml:space="preserve"> Whenever any notice is required to be given to any stockholder or director of the Corporation as required by law, the Articles of Incorporation or these Bylaws, a waiver thereof in writing signed by the person or persons entitled to such notice, whether before or after the time stated in such notice, shall be equivalent to the giving of such notice. Attendance of a stockholder or director at a meeting shall constitute a waiver of notice of such meeting, except where such stockholder or director attends for the express purpose of objecting to the transaction of any business on the ground that the meeting is not lawfully called or 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Affidavit of Mailing.</w:t>
      </w:r>
      <w:r>
        <w:rPr>
          <w:rFonts w:ascii="Times New Roman;Times;Serif" w:hAnsi="Times New Roman;Times;Serif"/>
          <w:b w:val="false"/>
          <w:i w:val="false"/>
          <w:caps w:val="false"/>
          <w:smallCaps w:val="false"/>
          <w:sz w:val="20"/>
        </w:rPr>
        <w:t xml:space="preserve">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Methods of Notice.</w:t>
      </w:r>
      <w:r>
        <w:rPr>
          <w:rFonts w:ascii="Times New Roman;Times;Serif" w:hAnsi="Times New Roman;Times;Serif"/>
          <w:b w:val="false"/>
          <w:i w:val="false"/>
          <w:caps w:val="false"/>
          <w:smallCaps w:val="false"/>
          <w:sz w:val="20"/>
        </w:rPr>
        <w:t xml:space="preserv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Execution of Corporate Instruments.</w:t>
      </w:r>
      <w:r>
        <w:rPr>
          <w:rFonts w:ascii="Times New Roman;Times;Serif" w:hAnsi="Times New Roman;Times;Serif"/>
          <w:b w:val="false"/>
          <w:i w:val="false"/>
          <w:caps w:val="false"/>
          <w:smallCaps w:val="false"/>
          <w:sz w:val="20"/>
        </w:rPr>
        <w:t xml:space="preserve">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Execution of Other Securities.</w:t>
      </w:r>
      <w:r>
        <w:rPr>
          <w:rFonts w:ascii="Times New Roman;Times;Serif" w:hAnsi="Times New Roman;Times;Serif"/>
          <w:b w:val="false"/>
          <w:i w:val="false"/>
          <w:caps w:val="false"/>
          <w:smallCaps w:val="false"/>
          <w:sz w:val="20"/>
        </w:rPr>
        <w:t xml:space="preserve"> All bonds, debentures and other corporate securities of the Corporation, other than stock certificates (covered in Section 5.1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Chief Financial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Voting of Securities Owned by the Corporation.</w:t>
      </w:r>
      <w:r>
        <w:rPr>
          <w:rFonts w:ascii="Times New Roman;Times;Serif" w:hAnsi="Times New Roman;Times;Serif"/>
          <w:b w:val="false"/>
          <w:i w:val="false"/>
          <w:caps w:val="false"/>
          <w:smallCaps w:val="false"/>
          <w:sz w:val="20"/>
        </w:rPr>
        <w:t xml:space="preserve">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the Chief Financial Officer, or any Vice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xml:space="preserve"> Dividends upon the outstanding shares of the Corporation, subject to the provisions of the Articles of Incorporation, if any, may be declared by the Board of Directors at any regular or special meeting. Dividends may be declared and paid in cash, in property, or in shares of the Corporation, subject to the provisions of the Nevada Revised Statutes and the Articles of Incorporation. The Board of Directors may fix in advance a record date for the purpose of determining stockholders entitled to receive payment of any dividend, such record date to be not more than sixty (60) days prior to the payment date of such dividend, or the Board of Directors may close the stock transfer books for such purpose for a period of not more than sixty (60) days prior to the payment date of such dividend. In the absence of any action by the Board of Directors, the date upon which the Board of Directors adopts the resolution declaring such dividend shall be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xml:space="preserve"> There may be created by resolution of the Board of Directors out of the surplus of the Corporation such reserve or reserves as the directors from time to time, in their discretion, think proper to provide for contingencies, or to equalize dividends, or to repair or maintain any property of the Corporation, or for such other purpose as the directors shall think beneficial to the Corporation, and the directors may modify or abolish any such reserve in the manner in which it was created. Surplus of the Corporation to the extent so reserved shall not be available for the payment of dividends or other distributions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xml:space="preserve"> The Corporation shall keep correct and complete books and records of account and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Corporate Seal.</w:t>
      </w:r>
      <w:r>
        <w:rPr>
          <w:rFonts w:ascii="Times New Roman;Times;Serif" w:hAnsi="Times New Roman;Times;Serif"/>
          <w:b w:val="false"/>
          <w:i w:val="false"/>
          <w:caps w:val="false"/>
          <w:smallCaps w:val="false"/>
          <w:sz w:val="20"/>
        </w:rPr>
        <w:t xml:space="preserve"> The Board of Directors may adopt a corporate seal. The corporate seal shall consist of a die bearing the name of the Corporation and the inscription, “Corporate Seal-Nevada.” Said seal may be used by causing it or a facsimile thereof to be impressed or affixed or reproduced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fiscal year of the Corporation shall be fixed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i w:val="false"/>
          <w:caps w:val="false"/>
          <w:smallCaps w:val="false"/>
          <w:sz w:val="20"/>
        </w:rPr>
        <w:t>Interpretation and Construction.</w:t>
      </w:r>
      <w:r>
        <w:rPr>
          <w:rFonts w:ascii="Times New Roman;Times;Serif" w:hAnsi="Times New Roman;Times;Serif"/>
          <w:b w:val="false"/>
          <w:i w:val="false"/>
          <w:caps w:val="false"/>
          <w:smallCaps w:val="false"/>
          <w:sz w:val="20"/>
        </w:rPr>
        <w:t xml:space="preserve"> Reference in these Bylaws to any provision of the Nevada Revised Statutes shall be deemed to include all amendments thereof. Unless the context requires otherwise, the general provisions, rules of construction and definitions in the Nevada Revised Statutes shall govern the construction of these Bylaws. Without limiting the generality of the forgoing, the singular number includes the plural, the plural number includes the singular, and the term “person” includes both a corporation and a natural person.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 Any article, section, subsection, subdivision, sentence, clause or phrase of these Bylaws which, upon being construed in the manner provided in this Section 8.9, shall be contrary to or inconsistent with any applicable provision of law, shall not apply so long as said provisions of law shall remain in effect, but such result shall not affect the validity or applicability of any other portions of these Bylaws, it being hereby declared that these Bylaws, and each article, section, subsection, subdivision, sentence, clause, or phrase thereof, would have been adopted irrespective of the fact that any one or more articles, sections, subsections, subdivisions, sentences, clauses or phrases is or are illegal.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Section 78.378(1), the Corporation elects not to be governed by the provisions of Nevada state law applicable to the acquisition of a controlling interest in the stock of the corporation, as set forth in NRS Sections 78.378 to 78.3793.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86"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8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Chapter 78 or Chapter 92A of the Nevada Revised Statutes or the Articles of Incorporation or these Bylaws (in each case, as they may be amended from time to time), or (iv) any action asserting a claim against the Corporation or any director or officer or other employee of the corporation governed by the internal affairs doctrine shall be a state court located within the State of Nevada (or, if no state court located within the State of Nevada has jurisdiction, the federal district court for the District of Nevada), provided, however, that this paragraph shall not apply to any action asserting a claim arising under the Securities Act or the Exchange Act, or to any other claim for which the federal courts of the United States have exclusive jurisdiction. Unless the Corporation consents in writing to the selection of an alternative forum, the federal district courts of the United States shall, to the fullest extent permitted by law, be the sole and exclusive forum for the resolution of any complaint asserting a cause of action arising under the Securities Act of 1933, as amended. Nothing in this Article X shall apply to any action asserting a claim arising under the Exchange Act, including any direct action brought by a stockholder to enforce any liability or duty created by the Exchange Act, or the rules and regulations thereunder, as to which the federal district courts of the United States have exclusive jurisdiction pursuant to Section 27 thereof. To the fullest extent permitted by law, any person or entity purchasing or otherwise acquiring or holding any interest in shares of capital stock of the Corporation shall be deemed to have notice of and consented to this Article X. Notwithstanding anything in this Article X to the contrary, no person shall be deemed to have waived compliance with the federal securities laws of the United States or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ADOPTION, AMENDMENT OR REPEAL OF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By the Board of Directors.</w:t>
      </w:r>
      <w:r>
        <w:rPr>
          <w:rFonts w:ascii="Times New Roman;Times;Serif" w:hAnsi="Times New Roman;Times;Serif"/>
          <w:b w:val="false"/>
          <w:i w:val="false"/>
          <w:caps w:val="false"/>
          <w:smallCaps w:val="false"/>
          <w:sz w:val="20"/>
        </w:rPr>
        <w:t xml:space="preserve"> Subject to the Articles of Incorporation and applicable law, the Board of Directors is expressly empowered to adopt, amend, or repeal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By the Stockholders.</w:t>
      </w:r>
      <w:r>
        <w:rPr>
          <w:rFonts w:ascii="Times New Roman;Times;Serif" w:hAnsi="Times New Roman;Times;Serif"/>
          <w:b w:val="false"/>
          <w:i w:val="false"/>
          <w:caps w:val="false"/>
          <w:smallCaps w:val="false"/>
          <w:sz w:val="20"/>
        </w:rPr>
        <w:t xml:space="preserve"> The stockholders shall also have power to adopt, amend or repeal bylaws of the Corporation; provided, however, that, in addition to any vote of the holders of any class or series of stock of the Corporation required by law or by the Articles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ADOPTION OF BYLAWS</w:t>
        <w:br/>
        <w:br/>
        <w:t>OF</w:t>
        <w:br/>
        <w:br/>
        <w:t>ETOILES CAPITAL GROUP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he is the duly elected, qualified and acting Secretary of Etoiles Capital Group Co., Ltd, a Nevada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that the foregoing Bylaws were adopted as the Corporation’s bylaws as of the date hereof by the Corporation’s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Certificate of Adoption as of [  ], 2026.</w:t>
      </w:r>
    </w:p>
    <w:p>
      <w:pPr>
        <w:pStyle w:val="TextBody"/>
        <w:bidi w:val="0"/>
        <w:spacing w:before="0" w:after="0"/>
        <w:ind w:left="0" w:right="0" w:firstLine="720"/>
        <w:jc w:val="both"/>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both"/>
              <w:rPr/>
            </w:pPr>
            <w:r>
              <w:rPr/>
              <w:t> </w:t>
            </w:r>
          </w:p>
        </w:tc>
        <w:tc>
          <w:tcPr>
            <w:tcW w:w="137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Hon Fia Tam </w:t>
              <w:br/>
              <w:t>Secretary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4" w:name="b_006"/>
      <w:bookmarkEnd w:id="34"/>
      <w:r>
        <w:rPr>
          <w:rFonts w:ascii="Times New Roman;Times;Serif" w:hAnsi="Times New Roman;Times;Serif"/>
          <w:b/>
          <w:i w:val="false"/>
          <w:caps w:val="false"/>
          <w:smallCaps w:val="false"/>
          <w:sz w:val="20"/>
        </w:rPr>
        <w:t>Annex 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Articles of Domestication of Etoiles Capital Group Co., Ltd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FRANCISCO V. AGUILAR Secretary of State 401 North Carson Street Carson City, Nevada 89701-4201 (775) 684-5708 Website: www.nvsos.gov Articles of Domestication (PURSUANT TO NRS 92A.270) TYPE OR PRINT - USE DARK INK ONLY - DO NOT HIGHLIGHT INSTRUCTIONS: 1. Enter the name and type of Domestic entity as set forth in its charter documents. 2. Entity name prior to domestication. 3. Enter original filing date and jursidication of un-domesticated entity. 4. Jurisdiction that constituted the principal place of business of the un-domesticated organization, see below. 5. SIGNATURE(S): Must be signed by Authorized Signer. Form will be returned if unsigned. 6. The filing must be submitted with the following: • The appropriate formation document for the type of domestic entity. • A certified copy of the charter document, or the equivalent, if any, of the undomesticated organization. • A certificate of good standing, or the equivalent, from the jurisdiction where the undomesticated organization was chartered immediately before filing the articles of domestication (within 90 days). 7. If the foreign undomesticated entity is on file a cancellation/dissolution will need to be submitted with the appropriate fees. 8. If the name of the domesticating entity is not available a notarized name consent will need to be submitted. 1. Domestic Entity Information: Name of Domestic Entity as set forth in its Charter Documents: Type of Domestic Entity as set forth in its Charter Documents: 2. Prior Name: Entity Name Before Filing Articles of Domestication: 3. Original Filing Date and jurisdiction: Original Jurisdiction of Formation: Original File Date: 4. Jurisdiction: Jurisdiction that constituted the principal place of business or central administration of the undomesticated organization, or any other equivalent thereto pursuant to applicable law, immediately before filing the articles of domestication. 5. Signature: (Required) X Signature Date This form must be accompanied by appropriate fees. Page 1 of 1 Revised: 8/1/2023 Etoiles Capital Group Co., Ltd. corporation Etoiles Capital Group Co., Ltd. Cayman Islands 09/13/2024 Cayman Islands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jc w:val="right"/>
        <w:rPr>
          <w:rFonts w:ascii="Times New Roman;Times;Serif" w:hAnsi="Times New Roman;Times;Serif"/>
          <w:b/>
          <w:i w:val="false"/>
          <w:caps w:val="false"/>
          <w:smallCaps w:val="false"/>
          <w:sz w:val="20"/>
        </w:rPr>
      </w:pPr>
      <w:bookmarkStart w:id="35" w:name="a_030"/>
      <w:bookmarkEnd w:id="35"/>
      <w:r>
        <w:rPr>
          <w:rFonts w:ascii="Times New Roman;Times;Serif" w:hAnsi="Times New Roman;Times;Serif"/>
          <w:b/>
          <w:i w:val="false"/>
          <w:caps w:val="false"/>
          <w:smallCaps w:val="false"/>
          <w:sz w:val="20"/>
        </w:rPr>
        <w:t>Annex F</w:t>
      </w:r>
    </w:p>
    <w:p>
      <w:pPr>
        <w:pStyle w:val="TextBody"/>
        <w:shd w:fill="FFFFFF" w:val="clear"/>
        <w:bidi w:val="0"/>
        <w:jc w:val="righ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 for Annual General Meeting</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F-1</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6991350" cy="90487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8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VOTE ON INTERNET Go to http://www.vstocktransfer.com/proxy on Proxy Voter Login and log on using the Click control number. Voting will be open until below 11:59 p.m., Eastern Time, on October 14, 2026. CONTROL # VOTE BY MAIL Mark, sign and date your proxy card and return it in the envelope we have provided. * SPECIMEN * 1 MAIN STREET ANYWHERE PA 99999-9999 ATTEND THE MEETING you would like to vote in person, please attend the If General Meeting to be held on October 15, Annual at 9:00 a.m., Eastern Time (October 15, 2026, 2026 9:00 p.m., local time), physically at Unit 03-04, at Cosco Tower, 183 Queen's Road Central, 25/F, Wan, Hong Kong or to attend virtually Sheung please register via the following URL: https://meeting.vstocktransfer.com/ETOILESOCT26 Please Vote, Sign, Date and Return Promptly in the Enclosed Envelope. Annual General Meeting of Shareholders - Etoiles Capital Group Co., Ltd. DETACH PROXY CARD HERE TO VOTE BY MAIL THE BOARD OF DIRECTORS RECOMMENDS A VOTE "FOR" ALL LISTED PROPOSALS. AGAINST ABSTAIN FOR Proposal 1: Domestication Proposal consider and vote upon a proposal to approve by special resolution the change of Etoiles Capital's jurisdiction of incorporation from the To Islands to the State of Nevada by way of continuation out of the Cayman Islands and deregistration as an exempted company in the Cayman Islands, and by continuation and domestication as a corporation incorporated under the laws of the State of Nevada (the Cayman "domestication"); Proposal 2: New Charter Proposal consider and vote upon a proposal to approve by special resolution the proposed new certificate of incorporation and an addendum to the To new certificate of incorporation of the post-domestication company (the "Proposed Charter"), a copy of which is attached as Annex B1 proposed Annex B2, respectively, to become effective at the effective time of the domestication and to govern post-domestication company, in and substitution for the Company's second amended and restated memorandum and articles of association (the "Existing Organizational Documents"); Proposal 3: Election of Directors To elect Kit Shing, CHEUNG to serve as director for a three-year term expiring at the annual general meeting in 2029 and until his/her 3a. successor is duly elected and qualified; To elect Wesley CHU to serve as director for a three-year term expiring at the annual general meeting in 2029 and until his/her successor is 3b. duly elected and qualified; To elect Yeung Tak, CHEN to serve as director for a three-year term expiring at the annual general meeting in 2029 and until his/her 3c. successor is duly elected and qualified; and To elect Nancy YANG to serve as director for a three-year term expiring at the annual general meeting in 2029 and until his/her successor is 3d. duly elected and qualified. Proposal 4: Appointment of Independent Registered Public Accounting Firm Proposal ratify by ordinary resolution the appointment of SRCO, C.P.A., Professional Corporation as our independent registered public accounting firm To for the fiscal year ending December 31, 2026; and Proposal 5: Adjournment Proposal approve by ordinary resolution the adjournment of the annual general meeting to a later date or dates, if necessary, to permit further To and vote of proxies if, based upon the tabulated vote at the time of the annual general meeting, the domestication proposal and the solicitation new charter proposal would not be duly approved and adopted by our shareholders. Note: To transact such other business that is properly presented at the annual general meeting and any adjournments or postponements thereof. Signature, if held jointly Signature Date ______________________________________________ ________________________ ______________________________________________ Note: This proxy must be signed exactly as the name appears hereon. When shares are held jointly, each holder should sign. When signing as executor, administrator, attorney, trustee or guardian, please give full title as such. If the signer is a corporation, please sign full corporate name by a duly authorized officer, giving full title as such. If signer is a partnership, please sign in partnership name by an authorized person. To change the address on your account, please check the box at right and indicate your new address. * SPECIMEN * AC:ACCT9999</w:t>
      </w:r>
    </w:p>
    <w:p>
      <w:pPr>
        <w:pStyle w:val="TextBody"/>
        <w:bidi w:val="0"/>
        <w:spacing w:before="0" w:after="0"/>
        <w:jc w:val="center"/>
        <w:rPr>
          <w:bdr w:val="single" w:sz="12" w:space="1" w:color="000000"/>
        </w:rPr>
      </w:pPr>
      <w:r>
        <w:rPr>
          <w:bdr w:val="single" w:sz="12" w:space="1" w:color="000000"/>
        </w:rPr>
        <w:t>F-2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8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ETOILES CAPITAL GROUP CO., LTD. Annual General Meeting of Shareholders October 15, 2026 at 9:00 a.m., Eastern Time (October 15, 2026, at 9:00 p.m., local time) IMPORTANT NOTICE REGARDING THE AVAILABILITY OF PROXY MATERIALS FOR THE ANNUAL GENERAL MEETING OF SHAREHOLDERS The material for this meeting is available online at: https://ts.vstocktransfer.com/irhlogin/I-ETOILES To Register for the Virtual Meeting, Please Visit: https://meeting.vstocktransfer.com/ETOILESOCT26 DETACH PROXY CARD HERE TO VOTE BY MAIL THIS PROXY IS SOLICITED ON BEHALF OF THE BOARD OF DIRECTORS AGAINST ABSTAIN FOR undersigned hereby appoints Kit Shing, CHEUNG as proxy with full power of substitution, to represent and to vote as set forth herein all the The A Ordinary Shares of Etoiles Capital Group Co., Ltd. which the undersigned is entitled to vote at the Annual General Meeting of Class Shareholders and any adjournments or postponements thereof, as designated below. This proxy, when properly executed, will be voted as directed. If no direction is made, the proxy shall be voted "FOR" all listed Proposals. Delivery of Future Proxy Materials. If you would like to reduce the costs incurred by Etoiles Capital Group Co., Ltd in mailing materials, you can consent to receiving all Electronic proxy statements, proxy cards and annual reports electronically via email or the internet. To sign up for electronic delivery, please provide your email address below and check future here to indicate you consent to receive or access proxy materials electronically in future years. Email Address: ________________________________________________________________ PLEASE INDICATE YOUR VOTE ON THE REVERSE SIDE (Continued and To be Signed on Reverse Side)</w:t>
      </w:r>
    </w:p>
    <w:p>
      <w:pPr>
        <w:pStyle w:val="TextBody"/>
        <w:bidi w:val="0"/>
        <w:spacing w:before="0" w:after="0"/>
        <w:jc w:val="center"/>
        <w:rPr>
          <w:bdr w:val="single" w:sz="12" w:space="1" w:color="000000"/>
        </w:rPr>
      </w:pPr>
      <w:r>
        <w:rPr>
          <w:bdr w:val="single" w:sz="12" w:space="1" w:color="000000"/>
        </w:rPr>
        <w:t>F-3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58349/000121390026056086/ea0288885-20f_etoiles.htm" TargetMode="External"/><Relationship Id="rId3" Type="http://schemas.openxmlformats.org/officeDocument/2006/relationships/hyperlink" Target="https://www.sec.gov/Archives/edgar/data/2058349/000121390025096342/ea0260374-6k_etoiles.htm" TargetMode="External"/><Relationship Id="rId4" Type="http://schemas.openxmlformats.org/officeDocument/2006/relationships/hyperlink" Target="https://www.sec.gov/Archives/edgar/data/2058349/000121390025103913/ea0263135-6k_etoiles.htm" TargetMode="External"/><Relationship Id="rId5" Type="http://schemas.openxmlformats.org/officeDocument/2006/relationships/hyperlink" Target="https://www.sec.gov/Archives/edgar/data/2058349/000121390025105625/ea0263577-6k_etoiles.htm" TargetMode="External"/><Relationship Id="rId6" Type="http://schemas.openxmlformats.org/officeDocument/2006/relationships/hyperlink" Target="https://www.sec.gov/Archives/edgar/data/2058349/000121390025114427/ea0267104-6k_etoiles.htm" TargetMode="External"/><Relationship Id="rId7" Type="http://schemas.openxmlformats.org/officeDocument/2006/relationships/hyperlink" Target="https://www.sec.gov/Archives/edgar/data/2058349/000121390025126325/ea0269664-6k_etoiles.htm" TargetMode="External"/><Relationship Id="rId8" Type="http://schemas.openxmlformats.org/officeDocument/2006/relationships/hyperlink" Target="https://www.sec.gov/Archives/edgar/data/2058349/000121390026076198/ea0297375-6k_etoiles.htm" TargetMode="External"/><Relationship Id="rId9" Type="http://schemas.openxmlformats.org/officeDocument/2006/relationships/hyperlink" Target="https://www.sec.gov/Archives/edgar/data/2058349/000121390026076929/ea0297483-6k_etoiles.htm" TargetMode="External"/><Relationship Id="rId10" Type="http://schemas.openxmlformats.org/officeDocument/2006/relationships/hyperlink" Target="https://www.sec.gov/Archives/edgar/data/2058349/000121390025072964/ea0251894-8a12b_etoiles.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2.jpeg"/><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image" Target="media/image5.jpeg"/><Relationship Id="rId79" Type="http://schemas.openxmlformats.org/officeDocument/2006/relationships/image" Target="media/image6.jpeg"/><Relationship Id="rId80" Type="http://schemas.openxmlformats.org/officeDocument/2006/relationships/image" Target="media/image7.jpeg"/><Relationship Id="rId81" Type="http://schemas.openxmlformats.org/officeDocument/2006/relationships/image" Target="media/image8.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84237</Words>
  <Characters>435661</Characters>
  <CharactersWithSpaces>520092</CharactersWithSpaces>
  <Paragraphs>7253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