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jc w:val="center"/>
        <w:rPr>
          <w:rFonts w:ascii="Times New Roman;Times;Serif" w:hAnsi="Times New Roman;Times;Serif"/>
          <w:b/>
          <w:i w:val="false"/>
          <w:caps w:val="false"/>
          <w:smallCaps w:val="false"/>
          <w:sz w:val="20"/>
        </w:rPr>
      </w:pPr>
      <w:bookmarkStart w:id="0" w:name="ea0301496-s4_etoiles.htm"/>
      <w:bookmarkStart w:id="1" w:name="ksea0301496s4_etoiles"/>
      <w:bookmarkEnd w:id="0"/>
      <w:bookmarkEnd w:id="1"/>
      <w:r>
        <w:rPr>
          <w:rFonts w:ascii="Times New Roman;Times;Serif" w:hAnsi="Times New Roman;Times;Serif"/>
          <w:b/>
          <w:i w:val="false"/>
          <w:caps w:val="false"/>
          <w:smallCaps w:val="false"/>
          <w:sz w:val="20"/>
        </w:rPr>
        <w:t>As filed with the United States Securities and Exchange Commission on August 14, 2026</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S-4</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28" w:type="dxa"/>
          <w:right w:w="0" w:type="dxa"/>
        </w:tblCellMar>
      </w:tblPr>
      <w:tblGrid>
        <w:gridCol w:w="2525"/>
        <w:gridCol w:w="140"/>
        <w:gridCol w:w="2375"/>
        <w:gridCol w:w="140"/>
        <w:gridCol w:w="177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Cayman Islands*</w:t>
            </w:r>
          </w:p>
        </w:tc>
        <w:tc>
          <w:tcPr>
            <w:tcW w:w="140" w:type="dxa"/>
            <w:tcBorders/>
            <w:tcMar>
              <w:bottom w:w="0" w:type="dxa"/>
            </w:tcMar>
            <w:vAlign w:val="center"/>
          </w:tcPr>
          <w:p>
            <w:pPr>
              <w:pStyle w:val="TableContents"/>
              <w:bidi w:val="0"/>
              <w:spacing w:before="0" w:after="283"/>
              <w:jc w:val="center"/>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8742</w:t>
            </w:r>
          </w:p>
        </w:tc>
        <w:tc>
          <w:tcPr>
            <w:tcW w:w="14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w:t>
            </w:r>
          </w:p>
        </w:tc>
      </w:tr>
      <w:tr>
        <w:trPr/>
        <w:tc>
          <w:tcPr>
            <w:tcW w:w="252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14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14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rPr>
            </w:pPr>
            <w:r>
              <w:rPr>
                <w:rFonts w:ascii="Times New Roman;Times;Serif" w:hAnsi="Times New Roman;Times;Serif"/>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03-04, 25/F, Cosco Tower, 183 Queen’s Road Central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Sheung Wan, Hong Kong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+852-2398-8699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221-0102</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S. Venick, Esq.</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10100 Santa Monica Boulevard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2200</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Angeles, CA 90067</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(310) 282-2000</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Facsimile: (310) 282-2200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of the securities to the public: </w:t>
      </w:r>
      <w:r>
        <w:rPr>
          <w:rFonts w:ascii="Times New Roman;Times;Serif" w:hAnsi="Times New Roman;Times;Serif"/>
          <w:b w:val="false"/>
          <w:i w:val="false"/>
          <w:caps w:val="false"/>
          <w:smallCaps w:val="false"/>
          <w:sz w:val="20"/>
        </w:rPr>
        <w:t>As soon as practicable after this Registration Statement is declared effective and all other conditions to the domestication described in the enclosed Proxy Statement/Prospectus have been satisfied or waived.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being registered on this Form are being offered in connection with the formation of a holding company and there is compliance with General Instruction G, check the following box: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450"/>
        <w:gridCol w:w="60"/>
        <w:gridCol w:w="2900"/>
      </w:tblGrid>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Large accelerated filer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Accelerated filer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Non-accelerated filer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Smaller reporting company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Emerging growth company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13e-4(i) (Cross-Border Issuer Tender Offer)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14d-1(d) (Cross-Border Third-Party Tender Offer)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connection with the consummation of the domestication described herein, Etoiles Capital Group Co., Ltd intends to change its jurisdiction of incorporation from a corporation incorporated under the laws of the Cayman Islands to a corporation organized under the laws of the State of Nevada in accordance with the continuation and deregistration laws under Sections 206 and 207 of the Companies Act (As Revised) of the Cayman Islands and a domestication under Section 92A.270 of the Nevada Revised Statutes.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proxy statement/prospectus is subject to completion and amendment. The registrant may not sell the securities described herein until the registration statement filed with the United States Securities and Exchange Commission is declared effective. This preliminary proxy statement/prospectus is not an offer to sell these securities and it is not soliciting an offer to buy these securities in any jurisdiction where the offer or sale is not permitted.</w:t>
      </w:r>
    </w:p>
    <w:p>
      <w:pPr>
        <w:pStyle w:val="TextBody"/>
        <w:shd w:fill="FFFFFF" w:val="clear"/>
        <w:bidi w:val="0"/>
        <w:spacing w:before="0" w:after="0"/>
        <w:ind w:left="0" w:right="0" w:hanging="0"/>
        <w:jc w:val="center"/>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PROXY STATEMENT/PROSPECTUS SUBJECT TO COMPLETION, DATED AUGUST 14,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ANNUAL GENERAL MEETING</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FOR UP TO 15,110,000 SHARES OF COMMON STOCK, OF ETOILES CAPITAL GROUP CO., LTD AFTER ITS DOMESTICATION AS 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INCORPORATED IN THE STATE OF NEVADA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 183 Queen’s Road Central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Sheung Wan, Hong Kong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Shareholders: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general meeting (“annual general meeting”) of shareholders of Etoiles Capital Group Co., Ltd., a Cayman Islands exempted company (“Etoiles Capital,” the “Company,” “we,” “us” or “our”), to be held at Unit 03-04, 25/F, Cosco Tower, 183 Queen’s Road Central, Sheung Wan, Hong Kong and virtually via live webcast at 9:00 a.m. Eastern Time on [ ], 2026 ([ ], 2026, at 9:00 p.m., local time).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the meeting, the business to be conducted at the meeting, and information about Etoiles Capital that you should consider when you vote your shares are described in the accompanying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proposals to be put to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Domestication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(the “Etoiles Capital Board”) unanimously approved, on [ ], 2026, the change of Etoiles Capital’s jurisdiction of incorporation from the Cayman Islands to the State of Nevada by way of continuation out of the Cayman Islands and deregistration as an exempted company in the Cayman Islands and by continuation and domestication as a corporation incorporated under the laws of the State of Nevada (the “domestication” and such proposal, the “domestication proposal”). The domestication would be effected pursuant to Section 92A.270 of the Nevada Revised Statutes of the State of Nevada and Sections 206 and 207 of the Companies Act (As Revised) of the Cayman Islands. The continuing entity following the domestication, which we refer to as “Etoiles Capital Nevada,” will continue to be named Etoiles Capital Group Co., Ltd. after the domestication and existing shareholders of our ordinary shares would hold shares in Etoiles Capital Nevada rather than in a Cayman Islands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the domestication for a number of reasons. In 2026, the Etoiles Capital Board and our management team undertook a review of our existing structure and operations, and particularly the jurisdiction of incorporation of Etoiles Capital. After considering various factors, the Etoiles Capital Board believes that the domestication will enhance shareholders’ value over the long-term by providing potential strategic opportunities and benefits,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338" w:type="dxa"/>
        <w:jc w:val="left"/>
        <w:tblInd w:w="0" w:type="dxa"/>
        <w:shd w:fill="FFFFFF" w:val="clear"/>
        <w:tblLayout w:type="fixed"/>
        <w:tblCellMar>
          <w:top w:w="0" w:type="dxa"/>
          <w:left w:w="0" w:type="dxa"/>
          <w:bottom w:w="0" w:type="dxa"/>
          <w:right w:w="0" w:type="dxa"/>
        </w:tblCellMar>
      </w:tblPr>
      <w:tblGrid>
        <w:gridCol w:w="38"/>
        <w:gridCol w:w="170"/>
        <w:gridCol w:w="41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1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benefits for our shareholders; and</w:t>
            </w:r>
          </w:p>
        </w:tc>
      </w:tr>
    </w:tbl>
    <w:p>
      <w:pPr>
        <w:pStyle w:val="TextBody"/>
        <w:bidi w:val="0"/>
        <w:spacing w:before="0" w:after="0"/>
        <w:jc w:val="left"/>
        <w:rPr>
          <w:caps w:val="false"/>
          <w:smallCaps w:val="false"/>
        </w:rPr>
      </w:pPr>
      <w:r>
        <w:rPr>
          <w:caps w:val="false"/>
          <w:smallCaps w:val="false"/>
        </w:rPr>
        <w:t> </w:t>
      </w:r>
    </w:p>
    <w:tbl>
      <w:tblPr>
        <w:tblW w:w="5448" w:type="dxa"/>
        <w:jc w:val="left"/>
        <w:tblInd w:w="0" w:type="dxa"/>
        <w:shd w:fill="FFFFFF" w:val="clear"/>
        <w:tblLayout w:type="fixed"/>
        <w:tblCellMar>
          <w:top w:w="0" w:type="dxa"/>
          <w:left w:w="0" w:type="dxa"/>
          <w:bottom w:w="0" w:type="dxa"/>
          <w:right w:w="0" w:type="dxa"/>
        </w:tblCellMar>
      </w:tblPr>
      <w:tblGrid>
        <w:gridCol w:w="38"/>
        <w:gridCol w:w="170"/>
        <w:gridCol w:w="52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2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ability to attract and retain qualified directors.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this proxy statement/prospectus, Etoiles Capital’s shareholders are being asked to consider and vote to approve the domestication. At the effective time of the domestication, by virtue of the domestication and without any further action on the part of any holder thereof, each Class A ordinary share, par value US$0.0001 per share (the “Class A ordinary shares”), issued and outstanding immediately prior to the effective time of the domestication will be automatically converted into one share of common stock, par value US$0.0001 per share, of Etoiles Capital Nevada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Class A ordinary shares are currently listed on The Nasdaq Capital Market under the symbol “EFTY.” Etoiles Capital Nevada’s Common Stock will continue to trade under the same symbol following the domestication. There is no public market for our Class B ordinary shares.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Charter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special resolution the proposed new certificate of incorporation and an addendum to the proposed new certificate of incorporation of Etoiles Capital Nevada, a copy of which is attached to the proxy statement/prospectus as Annex B1 and Annex B2, respectively, to be effective at the effective time of the domestication, which will alter the rights of shareholders under Etoiles Capital’s second amended and restated memorandum and articles of association, a copy of which is attached to the proxy statement/prospectus as Annex A (the “new charter proposal”). Approvals of both the domestication proposal and the new charter proposal are required to effect the domestication. The approval of each of the domestication proposal and the new charter proposal is conditioned upon the other proposal being approved.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is dated [ ], 2026, and is first being mailed to Etoiles Capital’s shareholders on or about [     ],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Annual Meeting Proposals.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ordinary resolution other proposals at the annual general meeting, including: (i) the election of four director nominees to our Board and (ii) the ratification of the appointment of SRCO, C.P.A., Professional Corporation as our independent registered public accounting firm for our fiscal year ending December 31,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Adjournment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the approval of each of these proposals. Such other business will be transacted as may properly come before the annual general meeting. This proxy statement/prospectus provides you with detailed information about the domestication and other matters to be considered at the annual general meeting. We urge you to carefully read this entire document and the documents incorporated herein by reference. You should also carefully consider the risk factors described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7 of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you will be able to attend the annual general meeting. Whether you plan to attend the annual general meeting or not, it is important that you cast your vote either in person or by proxy. You may vote over the Internet as well as by telephone or by mail. When you have finished reading the proxy statement/prospectus, you are urged to vote in accordance with the instructions set forth in the proxy statement/prospectus. We encourage you to vote by proxy so that your shares will be represented and voted at the meeting, whether or not you can attend.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 of Etoiles Capital Group Co., Ltd.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 Shing, CHEUNG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 183 Queen’s Road Central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Sheung Wan, Hong Kong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2026</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9:00 a.m., Eastern Time ([    ], 2026, at 9:00 p.m., local time)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    ],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LOCATION: Unit 03-04, 25/F, Cosco Tower, 183 Queen’s Road Central, Sheung Wan, Hong Kong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ACCESS: https://meeting.vstocktransfer.com/ETOILES[MONTH]26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annual general meeting (the “annual general meeting”) will be held on [    ], 2026 at 9:00 a.m., Eastern Time ([    ], 2026, at 9:00 p.m., local time), physically at Unit 03-04, 25/F, Cosco Tower, 183 Queen’s Road Central, Sheung Wan, Hong Kong and virtually via live webcast athttps://meeting.vstocktransfer.com/ETOILES[MONTH]26 or at such other time, on such other date and at such other place to which the meeting may be adjourned or postponed. For purposes of attendance at the annual general meeting, all references in this proxy statement/prospectus to “present in person” or “in person” shall mean physically or virtually present at the annual general meeting. In order to be able to watch and listen to the meeting, shareholders must register in advance at the following link: https://meeting.vstocktransfer.com/ETOILES[MONTH]26, and to submit questions in advance, shareholders are required to send those questions in advance of the AGM to ir@etoilesfin.com. For further information about the virtual annual general meeting, please see the section “</w:t>
      </w:r>
      <w:r>
        <w:rPr>
          <w:rFonts w:ascii="Times New Roman;Times;Serif" w:hAnsi="Times New Roman;Times;Serif"/>
          <w:b w:val="false"/>
          <w:i/>
          <w:caps w:val="false"/>
          <w:smallCaps w:val="false"/>
          <w:sz w:val="20"/>
        </w:rPr>
        <w:t>Important Information About the Annual Meeting, Voting and the Domestication Proposal</w:t>
      </w:r>
      <w:r>
        <w:rPr>
          <w:rFonts w:ascii="Times New Roman;Times;Serif" w:hAnsi="Times New Roman;Times;Serif"/>
          <w:b w:val="false"/>
          <w:i w:val="false"/>
          <w:caps w:val="false"/>
          <w:smallCaps w:val="false"/>
          <w:sz w:val="20"/>
        </w:rPr>
        <w:t>” beginning on page iv.</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consider and vote upon a proposal to approve by special resolution the change of Etoiles Capital’s jurisdiction of incorporation from the Cayman Islands to the State of Nevada by way of continuation out of the Cayman Islands and deregistration as an exempted company in the Cayman Islands, and by continuation and domestication as a corporation incorporated under the laws of the State of Nevada (the “domestication” and such proposal, the “domestication proposal”);</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consider and vote upon a proposal to approve by special resolution the proposed new certificate of incorporation and an addendum to the proposed new certificate of incorporation of the post-domestication company, Etoiles Capital Nevada (the “Proposed Charter”), a copy of which is attached to the proxy statement/prospectus as Annex B1 and Annex B2, respectively, to become effective at the effective time of the domestication and to govern Etoiles Capital Nevada following the domestication, in substitution for the Company’s second amended and restated memorandum and articles of association (the “Existing Organizational Documents”) which currently govern the Company as a Cayman Islands exempted company (the “new charter proposal”);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elect the following four director nominees named in this proxy statement/prospectus to serve as directors for three-year terms expiring at the annual general meeting in 2029 and until their successors are duly elected and qualified: Kit Shing, CHEUNG, Wesley CHU, Yeung Tak, CHEN and Nancy YANG;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ratify by ordinary resolution the appointment of SRCO, C.P.A., Professional Corporation as our independent registered public accounting firm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r>
              <w:rPr>
                <w:rFonts w:ascii="Times New Roman;Times;Serif" w:hAnsi="Times New Roman;Times;Serif"/>
              </w:rPr>
              <w:t>.</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transact such other business that is properly presented at the annual general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MAY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if you were the record owner of Etoiles Capital Group Co., Ltd. Class A ordinary shares at the close of business on [    ], 2026. A list of shareholders of record will be available at the annual general meeting and, during the 10 days prior to the annual general meeting, at our principal executive offices located at Unit 03-04, 25/F, Cosco Tower, 183 Queen’s Road Central, Sheung Wan, Hong Kong.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shareholders are cordially invited to attend the annual general meeting. Whether you plan to attend the annual general meeting or not, we urge you to vote and submit your proxy by the Internet, telephone or mail in order to ensure the presence of a quorum. You may change or revoke your proxy at any time before it is voted at the annual general meeting. If you participate in and vote your shares at the annual general meeting, your proxy will not be used.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75"/>
        <w:gridCol w:w="3875"/>
      </w:tblGrid>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OUR BOARD OF DIRECTORS</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important business and financial information about Etoiles Capital from other documents that are not included in or delivered with this proxy statement/prospectus. This information is available to you without charge upon your request. You can obtain the documents incorporated by reference into this proxy statement/prospectus free of charge by sending a written request to: Etoiles Capital Group Co., Ltd., Attn: Hon Fai, TAM, Unit 03-04, 25/F, Cosco Tower, 183 Queen’s Road Central, Sheung Wan, Hong Kong.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would like to request any documents that are incorporated by reference into this proxy statement/prospectus, please do so at least five business days before the annual general meeting to be held on [ ], 2026, which is [ ], 2026, in order to receive them before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proxy statement/prospectus, the Notice of 2026 Annual General Meeting of Shareholders, our form of proxy card and our 2025 annual report to shareholders are also available for viewing, printing and downloading at https://ts.vstocktransfer.com/irhlogin/I-ETOILES.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Additionally, you can find a copy of additional information and our Annual Report on Form 20-F, which includes our financial statements for the fiscal year ended December 31, 2025, on the website of the Securities and Exchange Commission (the “SEC”), at www.sec.gov, or in the “SEC Filings” section of the “Financials – SEC Filings” section of our website at https://ir.etoilesgroup.com/financial-information/sec-filings. You may also obtain a printed copy of our Annual Report on Form 20-F, including our financial statements, free of charge, from us by sending a written request to: Etoiles Capital Group Co., Ltd., Attn: Hon Fai, TAM, Unit 03-04, 25/F, Cosco Tower, 183 Queen’s Road Central, Sheung Wan, Hong Kong or contact by telephone number at +852 2398-8699. Exhibits to the Annual Report on Form 20-F or any additional documents incorporated by reference into this proxy statement/prospectus will be provided upon written request and payment of an appropriate processing fee.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see “</w:t>
      </w:r>
      <w:r>
        <w:rPr>
          <w:rFonts w:ascii="Times New Roman;Times;Serif" w:hAnsi="Times New Roman;Times;Serif"/>
          <w:b/>
          <w:i/>
          <w:caps w:val="false"/>
          <w:smallCaps w:val="false"/>
          <w:sz w:val="20"/>
        </w:rPr>
        <w:t>Where You Can Find More Information and Incorporation by Reference</w:t>
      </w:r>
      <w:r>
        <w:rPr>
          <w:rFonts w:ascii="Times New Roman;Times;Serif" w:hAnsi="Times New Roman;Times;Serif"/>
          <w:b/>
          <w:i w:val="false"/>
          <w:caps w:val="false"/>
          <w:smallCaps w:val="false"/>
          <w:sz w:val="20"/>
        </w:rPr>
        <w:t>” beginning on page 55 of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rPr>
                <w:t>SPECIAL NOTE REGARDING FORWARD-LOOKING STATEMENTS</w:t>
              </w:r>
            </w:hyperlink>
          </w:p>
        </w:tc>
        <w:tc>
          <w:tcPr>
            <w:tcW w:w="275"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ii</w:t>
            </w:r>
          </w:p>
        </w:tc>
      </w:tr>
      <w:tr>
        <w:trPr/>
        <w:tc>
          <w:tcPr>
            <w:tcW w:w="993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rPr>
                <w:t>IMPORTANT INFORMATION ABOUT THE ANNUAL GENERAL MEETING, VOTING AND THE DOMESTICATION PROPOSAL</w:t>
              </w:r>
            </w:hyperlink>
          </w:p>
        </w:tc>
        <w:tc>
          <w:tcPr>
            <w:tcW w:w="275" w:type="dxa"/>
            <w:tcBorders/>
            <w:shd w:fill="FFFF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iv</w:t>
            </w:r>
          </w:p>
        </w:tc>
      </w:tr>
      <w:tr>
        <w:trPr/>
        <w:tc>
          <w:tcPr>
            <w:tcW w:w="993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rPr>
                <w:t>SUMMARY OF THE PROXY STATEMENT/PROSPECTUS</w:t>
              </w:r>
            </w:hyperlink>
          </w:p>
        </w:tc>
        <w:tc>
          <w:tcPr>
            <w:tcW w:w="275"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1</w:t>
            </w:r>
          </w:p>
        </w:tc>
      </w:tr>
      <w:tr>
        <w:trPr/>
        <w:tc>
          <w:tcPr>
            <w:tcW w:w="993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rPr>
                <w:t>RISK FACTORS</w:t>
              </w:r>
            </w:hyperlink>
          </w:p>
        </w:tc>
        <w:tc>
          <w:tcPr>
            <w:tcW w:w="275" w:type="dxa"/>
            <w:tcBorders/>
            <w:shd w:fill="FFFFFF" w:val="clear"/>
            <w:vAlign w:val="center"/>
          </w:tcPr>
          <w:p>
            <w:pPr>
              <w:pStyle w:val="TableContents"/>
              <w:bidi w:val="0"/>
              <w:spacing w:before="0" w:after="283"/>
              <w:ind w:left="0" w:right="0" w:hanging="180"/>
              <w:jc w:val="center"/>
              <w:rPr/>
            </w:pPr>
            <w:r>
              <w:rPr/>
              <w:t>7</w:t>
            </w:r>
          </w:p>
        </w:tc>
      </w:tr>
      <w:tr>
        <w:trPr/>
        <w:tc>
          <w:tcPr>
            <w:tcW w:w="993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rPr>
                <w:t>PROPOSAL NO. 1 THE DOMESTICATION PROPOSAL</w:t>
              </w:r>
            </w:hyperlink>
          </w:p>
        </w:tc>
        <w:tc>
          <w:tcPr>
            <w:tcW w:w="275" w:type="dxa"/>
            <w:tcBorders/>
            <w:shd w:fill="CCEE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10</w:t>
            </w:r>
          </w:p>
        </w:tc>
      </w:tr>
      <w:tr>
        <w:trPr/>
        <w:tc>
          <w:tcPr>
            <w:tcW w:w="993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rPr>
                <w:t>PROPOSAL NO. 2 NEW CHARTER PROPOSAL</w:t>
              </w:r>
            </w:hyperlink>
          </w:p>
        </w:tc>
        <w:tc>
          <w:tcPr>
            <w:tcW w:w="275" w:type="dxa"/>
            <w:tcBorders/>
            <w:shd w:fill="FFFFFF" w:val="cle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12</w:t>
            </w:r>
          </w:p>
        </w:tc>
      </w:tr>
      <w:tr>
        <w:trPr/>
        <w:tc>
          <w:tcPr>
            <w:tcW w:w="993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rPr>
                <w:t>PROPOSAL NO.3 ELECTION OF DIRECTORS</w:t>
              </w:r>
            </w:hyperlink>
          </w:p>
        </w:tc>
        <w:tc>
          <w:tcPr>
            <w:tcW w:w="275" w:type="dxa"/>
            <w:tcBorders/>
            <w:shd w:fill="CCEEFF" w:val="clear"/>
            <w:vAlign w:val="center"/>
          </w:tcPr>
          <w:p>
            <w:pPr>
              <w:pStyle w:val="TableContents"/>
              <w:bidi w:val="0"/>
              <w:spacing w:before="0" w:after="283"/>
              <w:ind w:left="0" w:right="0" w:hanging="180"/>
              <w:jc w:val="center"/>
              <w:rPr/>
            </w:pPr>
            <w:r>
              <w:rPr/>
              <w:t>13</w:t>
            </w:r>
          </w:p>
        </w:tc>
      </w:tr>
      <w:tr>
        <w:trPr/>
        <w:tc>
          <w:tcPr>
            <w:tcW w:w="993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rPr>
                <w:t>PROPOSAL NO. 4 RATIFICATION OF SELECTION OF INDEPENDENT REGISTERED PUBLIC ACCOUNTING FIRM</w:t>
              </w:r>
            </w:hyperlink>
          </w:p>
        </w:tc>
        <w:tc>
          <w:tcPr>
            <w:tcW w:w="275" w:type="dxa"/>
            <w:tcBorders/>
            <w:shd w:fill="FFFFFF" w:val="clear"/>
            <w:vAlign w:val="center"/>
          </w:tcPr>
          <w:p>
            <w:pPr>
              <w:pStyle w:val="TableContents"/>
              <w:bidi w:val="0"/>
              <w:spacing w:before="0" w:after="283"/>
              <w:ind w:left="0" w:right="0" w:hanging="180"/>
              <w:jc w:val="center"/>
              <w:rPr/>
            </w:pPr>
            <w:r>
              <w:rPr/>
              <w:t>14</w:t>
            </w:r>
          </w:p>
        </w:tc>
      </w:tr>
      <w:tr>
        <w:trPr/>
        <w:tc>
          <w:tcPr>
            <w:tcW w:w="993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rPr>
                <w:t>PROPOSAL NO. 5 THE ADJOURNMENT PROPOSAL</w:t>
              </w:r>
            </w:hyperlink>
          </w:p>
        </w:tc>
        <w:tc>
          <w:tcPr>
            <w:tcW w:w="275" w:type="dxa"/>
            <w:tcBorders/>
            <w:shd w:fill="CCEEFF" w:val="clear"/>
            <w:vAlign w:val="center"/>
          </w:tcPr>
          <w:p>
            <w:pPr>
              <w:pStyle w:val="TableContents"/>
              <w:bidi w:val="0"/>
              <w:spacing w:before="0" w:after="283"/>
              <w:ind w:left="0" w:right="0" w:hanging="180"/>
              <w:jc w:val="center"/>
              <w:rPr/>
            </w:pPr>
            <w:r>
              <w:rPr/>
              <w:t>16</w:t>
            </w:r>
          </w:p>
        </w:tc>
      </w:tr>
      <w:tr>
        <w:trPr/>
        <w:tc>
          <w:tcPr>
            <w:tcW w:w="993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rPr>
                <w:t>COMPARISON OF CORPORATE GOVERNANCE AND SHAREHOLDER RIGHTS</w:t>
              </w:r>
            </w:hyperlink>
          </w:p>
        </w:tc>
        <w:tc>
          <w:tcPr>
            <w:tcW w:w="275" w:type="dxa"/>
            <w:tcBorders/>
            <w:shd w:fill="FFFFFF" w:val="clear"/>
            <w:vAlign w:val="center"/>
          </w:tcPr>
          <w:p>
            <w:pPr>
              <w:pStyle w:val="TableContents"/>
              <w:bidi w:val="0"/>
              <w:spacing w:before="0" w:after="283"/>
              <w:ind w:left="0" w:right="0" w:hanging="180"/>
              <w:jc w:val="center"/>
              <w:rPr/>
            </w:pPr>
            <w:r>
              <w:rPr/>
              <w:t>17</w:t>
            </w:r>
          </w:p>
        </w:tc>
      </w:tr>
      <w:tr>
        <w:trPr/>
        <w:tc>
          <w:tcPr>
            <w:tcW w:w="993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rPr>
                <w:t>MANAGEMENT AND CORPORATE GOVERNANCE</w:t>
              </w:r>
            </w:hyperlink>
          </w:p>
        </w:tc>
        <w:tc>
          <w:tcPr>
            <w:tcW w:w="275" w:type="dxa"/>
            <w:tcBorders/>
            <w:shd w:fill="CCEEFF" w:val="clear"/>
            <w:vAlign w:val="center"/>
          </w:tcPr>
          <w:p>
            <w:pPr>
              <w:pStyle w:val="TableContents"/>
              <w:bidi w:val="0"/>
              <w:spacing w:before="0" w:after="283"/>
              <w:ind w:left="0" w:right="0" w:hanging="180"/>
              <w:jc w:val="center"/>
              <w:rPr/>
            </w:pPr>
            <w:r>
              <w:rPr/>
              <w:t>23</w:t>
            </w:r>
          </w:p>
        </w:tc>
      </w:tr>
      <w:tr>
        <w:trPr/>
        <w:tc>
          <w:tcPr>
            <w:tcW w:w="993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rPr>
                <w:t>EXECUTIVE COMPENSATION</w:t>
              </w:r>
            </w:hyperlink>
          </w:p>
        </w:tc>
        <w:tc>
          <w:tcPr>
            <w:tcW w:w="275" w:type="dxa"/>
            <w:tcBorders/>
            <w:shd w:fill="FFFFFF" w:val="clear"/>
            <w:vAlign w:val="center"/>
          </w:tcPr>
          <w:p>
            <w:pPr>
              <w:pStyle w:val="TableContents"/>
              <w:bidi w:val="0"/>
              <w:spacing w:before="0" w:after="283"/>
              <w:ind w:left="0" w:right="0" w:hanging="180"/>
              <w:jc w:val="center"/>
              <w:rPr/>
            </w:pPr>
            <w:r>
              <w:rPr/>
              <w:t>29</w:t>
            </w:r>
          </w:p>
        </w:tc>
      </w:tr>
      <w:tr>
        <w:trPr/>
        <w:tc>
          <w:tcPr>
            <w:tcW w:w="993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rPr>
                <w:t>EQUITY COMPENSATION PLAN INFORMATION</w:t>
              </w:r>
            </w:hyperlink>
          </w:p>
        </w:tc>
        <w:tc>
          <w:tcPr>
            <w:tcW w:w="275" w:type="dxa"/>
            <w:tcBorders/>
            <w:shd w:fill="CCEEFF" w:val="clear"/>
            <w:vAlign w:val="center"/>
          </w:tcPr>
          <w:p>
            <w:pPr>
              <w:pStyle w:val="TableContents"/>
              <w:bidi w:val="0"/>
              <w:spacing w:before="0" w:after="283"/>
              <w:ind w:left="0" w:right="0" w:hanging="180"/>
              <w:jc w:val="center"/>
              <w:rPr/>
            </w:pPr>
            <w:r>
              <w:rPr/>
              <w:t>32</w:t>
            </w:r>
          </w:p>
        </w:tc>
      </w:tr>
      <w:tr>
        <w:trPr/>
        <w:tc>
          <w:tcPr>
            <w:tcW w:w="993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rPr>
                <w:t>REPORT OF AUDIT COMMITTEE</w:t>
              </w:r>
            </w:hyperlink>
          </w:p>
        </w:tc>
        <w:tc>
          <w:tcPr>
            <w:tcW w:w="275" w:type="dxa"/>
            <w:tcBorders/>
            <w:shd w:fill="FFFFFF" w:val="clear"/>
            <w:vAlign w:val="center"/>
          </w:tcPr>
          <w:p>
            <w:pPr>
              <w:pStyle w:val="TableContents"/>
              <w:bidi w:val="0"/>
              <w:spacing w:before="0" w:after="283"/>
              <w:ind w:left="0" w:right="0" w:hanging="180"/>
              <w:jc w:val="center"/>
              <w:rPr/>
            </w:pPr>
            <w:r>
              <w:rPr/>
              <w:t>33</w:t>
            </w:r>
          </w:p>
        </w:tc>
      </w:tr>
      <w:tr>
        <w:trPr/>
        <w:tc>
          <w:tcPr>
            <w:tcW w:w="993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rPr>
                <w:t>SECURITY OWNERSHIP OF CERTAIN BENEFICIAL OWNERS AND MANAGEMENT</w:t>
              </w:r>
            </w:hyperlink>
          </w:p>
        </w:tc>
        <w:tc>
          <w:tcPr>
            <w:tcW w:w="275" w:type="dxa"/>
            <w:tcBorders/>
            <w:shd w:fill="CCEEFF" w:val="clear"/>
            <w:vAlign w:val="center"/>
          </w:tcPr>
          <w:p>
            <w:pPr>
              <w:pStyle w:val="TableContents"/>
              <w:bidi w:val="0"/>
              <w:spacing w:before="0" w:after="283"/>
              <w:ind w:left="0" w:right="0" w:hanging="180"/>
              <w:jc w:val="center"/>
              <w:rPr/>
            </w:pPr>
            <w:r>
              <w:rPr/>
              <w:t>34</w:t>
            </w:r>
          </w:p>
        </w:tc>
      </w:tr>
      <w:tr>
        <w:trPr/>
        <w:tc>
          <w:tcPr>
            <w:tcW w:w="993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rPr>
                <w:t>CERTAIN RELATIONSHIPS AND RELATED PERSON TRANSACTIONS</w:t>
              </w:r>
            </w:hyperlink>
          </w:p>
        </w:tc>
        <w:tc>
          <w:tcPr>
            <w:tcW w:w="275" w:type="dxa"/>
            <w:tcBorders/>
            <w:shd w:fill="FFFFFF" w:val="clear"/>
            <w:vAlign w:val="center"/>
          </w:tcPr>
          <w:p>
            <w:pPr>
              <w:pStyle w:val="TableContents"/>
              <w:bidi w:val="0"/>
              <w:spacing w:before="0" w:after="283"/>
              <w:ind w:left="0" w:right="0" w:hanging="180"/>
              <w:jc w:val="center"/>
              <w:rPr/>
            </w:pPr>
            <w:r>
              <w:rPr/>
              <w:t>35</w:t>
            </w:r>
          </w:p>
        </w:tc>
      </w:tr>
      <w:tr>
        <w:trPr/>
        <w:tc>
          <w:tcPr>
            <w:tcW w:w="993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rPr>
                <w:t>DESCRIPTION OF SECURITIES</w:t>
              </w:r>
            </w:hyperlink>
          </w:p>
        </w:tc>
        <w:tc>
          <w:tcPr>
            <w:tcW w:w="275" w:type="dxa"/>
            <w:tcBorders/>
            <w:shd w:fill="CCEEFF" w:val="clear"/>
            <w:vAlign w:val="center"/>
          </w:tcPr>
          <w:p>
            <w:pPr>
              <w:pStyle w:val="TableContents"/>
              <w:bidi w:val="0"/>
              <w:spacing w:before="0" w:after="283"/>
              <w:ind w:left="0" w:right="0" w:hanging="180"/>
              <w:jc w:val="center"/>
              <w:rPr/>
            </w:pPr>
            <w:r>
              <w:rPr/>
              <w:t>38</w:t>
            </w:r>
          </w:p>
        </w:tc>
      </w:tr>
      <w:tr>
        <w:trPr/>
        <w:tc>
          <w:tcPr>
            <w:tcW w:w="9930"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rPr>
                <w:t>MATERIAL U.S. FEDERAL INCOME TAX CONSIDERATIONS</w:t>
              </w:r>
            </w:hyperlink>
          </w:p>
        </w:tc>
        <w:tc>
          <w:tcPr>
            <w:tcW w:w="275" w:type="dxa"/>
            <w:tcBorders/>
            <w:shd w:fill="FFFFFF" w:val="clear"/>
            <w:vAlign w:val="center"/>
          </w:tcPr>
          <w:p>
            <w:pPr>
              <w:pStyle w:val="TableContents"/>
              <w:bidi w:val="0"/>
              <w:spacing w:before="0" w:after="283"/>
              <w:ind w:left="0" w:right="0" w:hanging="180"/>
              <w:jc w:val="center"/>
              <w:rPr/>
            </w:pPr>
            <w:r>
              <w:rPr/>
              <w:t>41</w:t>
            </w:r>
          </w:p>
        </w:tc>
      </w:tr>
      <w:tr>
        <w:trPr/>
        <w:tc>
          <w:tcPr>
            <w:tcW w:w="993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rPr>
                <w:t>APPRAISAL RIGHTS</w:t>
              </w:r>
            </w:hyperlink>
          </w:p>
        </w:tc>
        <w:tc>
          <w:tcPr>
            <w:tcW w:w="275" w:type="dxa"/>
            <w:tcBorders/>
            <w:shd w:fill="CCEEFF" w:val="clear"/>
            <w:vAlign w:val="center"/>
          </w:tcPr>
          <w:p>
            <w:pPr>
              <w:pStyle w:val="TableContents"/>
              <w:bidi w:val="0"/>
              <w:spacing w:before="0" w:after="283"/>
              <w:ind w:left="0" w:right="0" w:hanging="180"/>
              <w:jc w:val="center"/>
              <w:rPr/>
            </w:pPr>
            <w:r>
              <w:rPr/>
              <w:t>48</w:t>
            </w:r>
          </w:p>
        </w:tc>
      </w:tr>
      <w:tr>
        <w:trPr/>
        <w:tc>
          <w:tcPr>
            <w:tcW w:w="9930"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rPr>
                <w:t>STOCKHOLDER NOMINATIONS AND PROPOSALS OF ETOILES CAPITAL</w:t>
              </w:r>
            </w:hyperlink>
          </w:p>
        </w:tc>
        <w:tc>
          <w:tcPr>
            <w:tcW w:w="275" w:type="dxa"/>
            <w:tcBorders/>
            <w:shd w:fill="FFFFFF" w:val="clear"/>
            <w:vAlign w:val="center"/>
          </w:tcPr>
          <w:p>
            <w:pPr>
              <w:pStyle w:val="TableContents"/>
              <w:bidi w:val="0"/>
              <w:spacing w:before="0" w:after="283"/>
              <w:ind w:left="0" w:right="0" w:hanging="180"/>
              <w:jc w:val="center"/>
              <w:rPr/>
            </w:pPr>
            <w:r>
              <w:rPr/>
              <w:t>49</w:t>
            </w:r>
          </w:p>
        </w:tc>
      </w:tr>
      <w:tr>
        <w:trPr/>
        <w:tc>
          <w:tcPr>
            <w:tcW w:w="993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rPr>
                <w:t>STOCKHOLDER NOMINATIONS AND PROPOSALS OF ETOILES CAPITAL NEVADA</w:t>
              </w:r>
            </w:hyperlink>
          </w:p>
        </w:tc>
        <w:tc>
          <w:tcPr>
            <w:tcW w:w="275" w:type="dxa"/>
            <w:tcBorders/>
            <w:shd w:fill="CCEEFF" w:val="clear"/>
            <w:vAlign w:val="center"/>
          </w:tcPr>
          <w:p>
            <w:pPr>
              <w:pStyle w:val="TableContents"/>
              <w:bidi w:val="0"/>
              <w:spacing w:before="0" w:after="283"/>
              <w:ind w:left="0" w:right="0" w:hanging="180"/>
              <w:jc w:val="center"/>
              <w:rPr/>
            </w:pPr>
            <w:r>
              <w:rPr/>
              <w:t>50</w:t>
            </w:r>
          </w:p>
        </w:tc>
      </w:tr>
      <w:tr>
        <w:trPr/>
        <w:tc>
          <w:tcPr>
            <w:tcW w:w="9930"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rPr>
                <w:t>SHAREHOLDER COMMUNICATIONS</w:t>
              </w:r>
            </w:hyperlink>
          </w:p>
        </w:tc>
        <w:tc>
          <w:tcPr>
            <w:tcW w:w="275" w:type="dxa"/>
            <w:tcBorders/>
            <w:shd w:fill="FFFFFF" w:val="clear"/>
            <w:vAlign w:val="center"/>
          </w:tcPr>
          <w:p>
            <w:pPr>
              <w:pStyle w:val="TableContents"/>
              <w:bidi w:val="0"/>
              <w:spacing w:before="0" w:after="283"/>
              <w:ind w:left="0" w:right="0" w:hanging="180"/>
              <w:jc w:val="center"/>
              <w:rPr/>
            </w:pPr>
            <w:r>
              <w:rPr/>
              <w:t>53</w:t>
            </w:r>
          </w:p>
        </w:tc>
      </w:tr>
      <w:tr>
        <w:trPr/>
        <w:tc>
          <w:tcPr>
            <w:tcW w:w="9930"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rPr>
                <w:t>LEGAL MATTERS</w:t>
              </w:r>
            </w:hyperlink>
          </w:p>
        </w:tc>
        <w:tc>
          <w:tcPr>
            <w:tcW w:w="275" w:type="dxa"/>
            <w:tcBorders/>
            <w:shd w:fill="CCEEFF" w:val="clear"/>
            <w:vAlign w:val="center"/>
          </w:tcPr>
          <w:p>
            <w:pPr>
              <w:pStyle w:val="TableContents"/>
              <w:bidi w:val="0"/>
              <w:spacing w:before="0" w:after="283"/>
              <w:ind w:left="0" w:right="0" w:hanging="180"/>
              <w:jc w:val="center"/>
              <w:rPr/>
            </w:pPr>
            <w:r>
              <w:rPr/>
              <w:t>54</w:t>
            </w:r>
          </w:p>
        </w:tc>
      </w:tr>
      <w:tr>
        <w:trPr/>
        <w:tc>
          <w:tcPr>
            <w:tcW w:w="9930"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rPr>
                <w:t>EXPERTS</w:t>
              </w:r>
            </w:hyperlink>
          </w:p>
        </w:tc>
        <w:tc>
          <w:tcPr>
            <w:tcW w:w="275" w:type="dxa"/>
            <w:tcBorders/>
            <w:shd w:fill="FFFFFF" w:val="clear"/>
            <w:vAlign w:val="center"/>
          </w:tcPr>
          <w:p>
            <w:pPr>
              <w:pStyle w:val="TableContents"/>
              <w:bidi w:val="0"/>
              <w:spacing w:before="0" w:after="283"/>
              <w:ind w:left="0" w:right="0" w:hanging="180"/>
              <w:jc w:val="center"/>
              <w:rPr/>
            </w:pPr>
            <w:r>
              <w:rPr/>
              <w:t>54</w:t>
            </w:r>
          </w:p>
        </w:tc>
      </w:tr>
      <w:tr>
        <w:trPr/>
        <w:tc>
          <w:tcPr>
            <w:tcW w:w="9930"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rPr>
                <w:t>WHERE YOU CAN FIND MORE INFORMATION; INCORPORATION BY REFERENCE</w:t>
              </w:r>
            </w:hyperlink>
          </w:p>
        </w:tc>
        <w:tc>
          <w:tcPr>
            <w:tcW w:w="275" w:type="dxa"/>
            <w:tcBorders/>
            <w:shd w:fill="CCEEFF" w:val="clear"/>
            <w:vAlign w:val="center"/>
          </w:tcPr>
          <w:p>
            <w:pPr>
              <w:pStyle w:val="TableContents"/>
              <w:bidi w:val="0"/>
              <w:spacing w:before="0" w:after="283"/>
              <w:ind w:left="0" w:right="0" w:hanging="180"/>
              <w:jc w:val="center"/>
              <w:rPr/>
            </w:pPr>
            <w:r>
              <w:rPr/>
              <w:t>55</w:t>
            </w:r>
          </w:p>
        </w:tc>
      </w:tr>
      <w:tr>
        <w:trPr/>
        <w:tc>
          <w:tcPr>
            <w:tcW w:w="9930" w:type="dxa"/>
            <w:tcBorders/>
            <w:shd w:fill="FFFFFF" w:val="clear"/>
            <w:vAlign w:val="center"/>
          </w:tcPr>
          <w:p>
            <w:pPr>
              <w:pStyle w:val="TableContents"/>
              <w:bidi w:val="0"/>
              <w:spacing w:before="0" w:after="283"/>
              <w:jc w:val="left"/>
              <w:rPr/>
            </w:pPr>
            <w:hyperlink w:anchor="a_028">
              <w:r>
                <w:rPr>
                  <w:rStyle w:val="InternetLink"/>
                  <w:rFonts w:ascii="Times New Roman;Times;Serif" w:hAnsi="Times New Roman;Times;Serif"/>
                </w:rPr>
                <w:t>CODE OF ETHICS AND BUSINESS CONDUCT</w:t>
              </w:r>
            </w:hyperlink>
          </w:p>
        </w:tc>
        <w:tc>
          <w:tcPr>
            <w:tcW w:w="275" w:type="dxa"/>
            <w:tcBorders/>
            <w:shd w:fill="FFFFFF" w:val="clear"/>
            <w:vAlign w:val="center"/>
          </w:tcPr>
          <w:p>
            <w:pPr>
              <w:pStyle w:val="TableContents"/>
              <w:bidi w:val="0"/>
              <w:spacing w:before="0" w:after="283"/>
              <w:ind w:left="0" w:right="0" w:hanging="180"/>
              <w:jc w:val="center"/>
              <w:rPr/>
            </w:pPr>
            <w:r>
              <w:rPr/>
              <w:t>56</w:t>
            </w:r>
          </w:p>
        </w:tc>
      </w:tr>
      <w:tr>
        <w:trPr/>
        <w:tc>
          <w:tcPr>
            <w:tcW w:w="9930"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rPr>
                <w:t>OTHER MATTERS</w:t>
              </w:r>
            </w:hyperlink>
          </w:p>
        </w:tc>
        <w:tc>
          <w:tcPr>
            <w:tcW w:w="275" w:type="dxa"/>
            <w:tcBorders/>
            <w:shd w:fill="CCEEFF" w:val="clear"/>
            <w:vAlign w:val="center"/>
          </w:tcPr>
          <w:p>
            <w:pPr>
              <w:pStyle w:val="TableContents"/>
              <w:bidi w:val="0"/>
              <w:spacing w:before="0" w:after="283"/>
              <w:jc w:val="center"/>
              <w:rPr/>
            </w:pPr>
            <w:r>
              <w:rPr/>
              <w:t>57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SPECIAL NOTE REGARDING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herein include “forward-looking statements” within the meaning of Section 27A of the Securities Act of 1933, as amended (the “Securities Act”), and Section 21E of the Securities Exchange Act of 1934, as amended (the “Exchange Act”). All statements, other than statements of historical facts, included in this proxy statement/prospectus and the information incorporated by reference herein regarding our strategy, future operations, future financial position, future revenue, projected costs, prospects, plans, objectives of management, potential results of our drug development efforts or trials, the effects of competition and expected market growth are forward-looking statements. The words “anticipate,” “believe,” “contemplate,” “seeks,” “estimate,” “expect,” “forecast,” “intend,” “may,” “plan,” “predict,” “project,” “target,” “potential,” “will,” “would,” “could,” “should,” “continue” and similar expressions are intended to identify forward-looking statements, although not all forward-looking statements contain these identifying words. These forward-looking statements may include, among other things, statements about:</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17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financial and operating results, including revenues, income, expenditures, cash balances and other financial items;</w:t>
            </w:r>
          </w:p>
        </w:tc>
      </w:tr>
    </w:tbl>
    <w:p>
      <w:pPr>
        <w:pStyle w:val="TextBody"/>
        <w:bidi w:val="0"/>
        <w:spacing w:before="0" w:after="0"/>
        <w:ind w:left="0" w:right="0" w:hanging="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growth, expansion and acquisition strategies, including our ability to meet our goals;</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future economic and political conditions;</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subsidiaries’ services;</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expansion of our subsidiaries’ client base;</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170"/>
        <w:gridCol w:w="4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relationships with their business partners;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our industries;</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 policies and regulations relating to our industries;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all necessary government certifications, approvals, and/or licenses to conduct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ability to managing our growth effectively;</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capital requirements and our ability to raise any additional financing which we may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ability to protect their intellectual property rights and secure the right to use other intellectual property that they deem to be essential or desirable to the conduct of their business;</w:t>
            </w:r>
          </w:p>
        </w:tc>
      </w:tr>
    </w:tbl>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dependence on our senior management and key employees;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hire and retain qualified management personnel and key employees in order to develop our subsidiaries’ business;</w:t>
            </w:r>
          </w:p>
        </w:tc>
      </w:tr>
    </w:tbl>
    <w:p>
      <w:pPr>
        <w:pStyle w:val="TextBody"/>
        <w:bidi w:val="0"/>
        <w:spacing w:before="0" w:after="0"/>
        <w:ind w:left="0"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 industry and market performance;</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breaches with respect to computer systems;</w:t>
            </w:r>
          </w:p>
        </w:tc>
      </w:tr>
    </w:tbl>
    <w:p>
      <w:pPr>
        <w:pStyle w:val="TextBody"/>
        <w:bidi w:val="0"/>
        <w:spacing w:before="0" w:after="0"/>
        <w:ind w:left="0" w:right="0" w:hanging="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downturns and political and market conditions beyond our control;</w:t>
            </w:r>
          </w:p>
        </w:tc>
      </w:tr>
    </w:tbl>
    <w:p>
      <w:pPr>
        <w:pStyle w:val="TextBody"/>
        <w:bidi w:val="0"/>
        <w:spacing w:before="0" w:after="0"/>
        <w:ind w:left="0"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use of proceeds from this offering,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the required shareholder vote to adopt the domestication proposal (as defined below) at the annual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satisfaction of other conditions to the domestication;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take advantage of the potential strategic opportunities provided by, and realize the potential benefits of, the domestication;</w:t>
            </w:r>
          </w:p>
        </w:tc>
      </w:tr>
    </w:tbl>
    <w:p>
      <w:pPr>
        <w:pStyle w:val="TextBody"/>
        <w:bidi w:val="0"/>
        <w:spacing w:before="0" w:after="283"/>
        <w:jc w:val="left"/>
        <w:rPr/>
      </w:pPr>
      <w:r>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legal proceedings that may be instituted against us following announcement of the domestication;</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Common Stock on the Nasdaq Capital Market following the domestication;</w:t>
            </w:r>
          </w:p>
        </w:tc>
      </w:tr>
    </w:tbl>
    <w:p>
      <w:pPr>
        <w:pStyle w:val="TextBody"/>
        <w:bidi w:val="0"/>
        <w:spacing w:before="0" w:after="283"/>
        <w:jc w:val="left"/>
        <w:rPr/>
      </w:pPr>
      <w:r>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rights as a shareholder will change as a result of the domestication;</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domestication disrupts current plans and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shareholders may recognize gain or other income with respect to their shares at the effective time of the domestication;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anti-takeover provisions in our Proposed Organizational Documents (as defined below) and under Nevada law could make an acquisition of us more difficult and limit attempts by our shareholders to replace or remove our current management;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the domestication qualifies as a reorganization under Section 368(a) of the Internal Revenue Code of 1986, as amended (the “Code”), a U.S. shareholder may still recognize gain or other income with respect to their shares at the effective time of the domestication;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treated as a passive foreign investment company (“PFIC”) which could result in adverse United States federal income tax consequences to U.S. investors;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expect to incur transaction costs in connection with the completion of the domestication and related transactions, some of which will be incurred whether or not the domestication is completed;</w:t>
            </w:r>
          </w:p>
        </w:tc>
      </w:tr>
    </w:tbl>
    <w:p>
      <w:pPr>
        <w:pStyle w:val="TextBody"/>
        <w:bidi w:val="0"/>
        <w:spacing w:before="0" w:after="283"/>
        <w:jc w:val="left"/>
        <w:rPr/>
      </w:pPr>
      <w:r>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uncertainties while the domestication is pending;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financial performance of Etoiles Capital Nevada following the domestication, including our anticipated growth rate and market opportunity; and</w:t>
            </w:r>
          </w:p>
        </w:tc>
      </w:tr>
    </w:tbl>
    <w:p>
      <w:pPr>
        <w:pStyle w:val="TextBody"/>
        <w:bidi w:val="0"/>
        <w:spacing w:before="0" w:after="283"/>
        <w:jc w:val="left"/>
        <w:rPr/>
      </w:pPr>
      <w:r>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choose to or need to defer the domestication, or we may abandon the domestication.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proxy statement/prospectus and the information incorporated by reference herein, particularly in the “Risk Factors” sections of this proxy statement/prospectus and of our Annual Report on Form 20-F for the year ended December 31, 2025, which is incorporated by reference herein,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proxy statement/prospectus and the information incorporated by reference herein completely and with the understanding that our actual future results may be materially different from what we expect. Any forward-looking statement speaks only as of the date of this proxy statement/prospectus. We do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IMPORTANT INFORMATION ABOUT THE ANNUAL GENERAL MEETING,</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THE DOMESTICATION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soliciting my 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Etoiles Capital Group Co., Ltd., a Cayman Islands exempted company (“Etoiles Capital,” the “Company,” “we,” “us” or “our”) is soliciting your proxy to vote at the 2026 annual general meeting of shareholders (the “annual general meeting”) to be held physically at Unit 03-04, 25/F, Cosco Tower, 183 Queen’s Road Central, Sheung Wan, Hong Kong and virtually via live webcast athttps://meeting.vstocktransfer.com/ETOILES[MONTH]26, on [   ], 2026, at 9:00 a.m., Eastern Time ([   ], 2026, at 9:00 p.m., local time) and any adjournments or postponements of the meeting. This proxy statement/prospectus, along with the accompanying Notice of 2026 Annual General Meeting of Shareholders, summarizes the purposes of the meeting and the information you need to know to vote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available to you on the Internet and have sent you this proxy statement/prospectus, the Notice of 2026 Annual General Meeting of Shareholders, the proxy card and a copy of our Annual Report on Form 20-F for the fiscal year ended December 31, 2025 because you owned Etoiles Capital’s Class A ordinary shares, par value US$0.0001 per share (the “Class A ordinary shares” or the “existing ordinary shares”) at the close of business on [ ], 2026 (the “record date”). We intend to commence distribution of proxy materials to shareholders on or about [ ],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Etoiles Capital proposing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approval of the change of Etoiles Capital’s jurisdiction of incorporation from the Cayman Islands to the State of Nevada by deregistering as an exempted company in the Cayman Islands and continuing and domesticating as a corporation incorporated under the laws of the State of Nevada (the “domestication” and such proposal, the “domestication proposal”), as discussed in greater detail in the section entitled “</w:t>
      </w:r>
      <w:r>
        <w:rPr>
          <w:rFonts w:ascii="Times New Roman;Times;Serif" w:hAnsi="Times New Roman;Times;Serif"/>
          <w:b w:val="false"/>
          <w:i/>
          <w:caps w:val="false"/>
          <w:smallCaps w:val="false"/>
          <w:sz w:val="20"/>
        </w:rPr>
        <w:t>Proposal No.1 The Domestication Proposal—Reasons for the Domestication</w:t>
      </w:r>
      <w:r>
        <w:rPr>
          <w:rFonts w:ascii="Times New Roman;Times;Serif" w:hAnsi="Times New Roman;Times;Serif"/>
          <w:b w:val="false"/>
          <w:i w:val="false"/>
          <w:caps w:val="false"/>
          <w:smallCaps w:val="false"/>
          <w:sz w:val="20"/>
        </w:rPr>
        <w:t>.” Our Board believes that there are significant advantages to the domestication that will arise as a result of a change of domicile to Nevada and that any direct benefit that Nevada law provides to a corporation also indirectly benefits the shareholders, who are the owners of the corporation. Specifically, our Board believes that there are several reasons why a domestication from the Cayman Islands to Nevada is in the best interests of the Company and its shareholders, including, (i) the prominence, predictability and flexibility of Nevada law, (ii) Nevada’s well-established principles of corporate governance, (iii) the increased ability for Nevada corporations to attract and retain qualified directors, (iv) benefiting from well-established principles of corporate governance under Nevada law, which are more closely aligned with the Nasdaq listing standards and the SEC governance requirements, and (v) the mitigation of certain tax inefficiencies that would result if Etoiles Capital are to conduct a U.S. operating business as a foreign corporation, each of foregoing as discussed in greater detail in the section entitled “</w:t>
      </w:r>
      <w:r>
        <w:rPr>
          <w:rFonts w:ascii="Times New Roman;Times;Serif" w:hAnsi="Times New Roman;Times;Serif"/>
          <w:b w:val="false"/>
          <w:i/>
          <w:caps w:val="false"/>
          <w:smallCaps w:val="false"/>
          <w:sz w:val="20"/>
        </w:rPr>
        <w:t>Proposal No.1 The Domestication Proposal—Reasons for the Domestication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the domestication, upon approval of the domestication proposal and the new charter proposal (as defined below), Etoiles Capital will file an application for continuation and deregistration with the Cayman Islands Registrar of Companies, together with the necessary accompanying documents and fees, and will file the Proposed Charter (as defined below) and the certificate of corporate domestication (the “Certificate of Corporate Domestication”), a copy of which is attached to the proxy statement/prospectus as Annex D, with the Secretary of State of the State of Nevada, pursuant to which Etoiles Capital will be domesticated and continue as a Nevada corporation (the post-domestication company, “Etoiles Capital Nevada”).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domestication proposal requires a special resolution under the Companies Act (As Revised) of the Cayman Islands (the “Cayman Islands Companies Act”) and the Company’s second amended and restated memorandum and articles, being the affirmative vote of the holders of at least two-thirds of the votes cast by the Class A ordinary shares,, represented in person or by proxy, entitled to vote at the annual general meeting and who vote at the annual general meeting. Abstentions and broker non-votes, while considered present for the purposes of establishing a quorum, will not count as a vote cast at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amendments will be made to the Existing Organizational Documents of Etoiles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special resolution proposed new articles of incorporation and an addendum to the proposed new articles of incorporation of the post-domestication company, Etoiles Capital Nevada (the “Proposed Charter”), a copy of which is attached to the proxy statement/prospectus as Annex B1 and Annex B2, respectively, to become effective at the effective time of the domestication and to govern Etoiles Capital Nevada following the domestication, in substitution for the Company’s second amended and restated memorandum and articles of association (the “Existing Organizational Documents”) which currently govern the Company as a Cayman Islands exempted company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is approved and the new charter proposal is approved and the domestication is to be effected, the Existing Organizational Documents will be altered and replaced in full with the Proposed Charter and the proposed new bylaws of Etoiles Capital Nevada, a copy of which is attached to the proxy statement/prospectus as Annex C (the “Proposed Bylaws” and, together with the Proposed Charter, the “Proposed Organizational Documents”) in full. The Proposed Organizational Documents will become the organizational documents of Etoiles Capital Nevada at the effective time of the domestication, in each case, under the Nevada Revised Statutes of the State of Nevada (the “NRS”). The approvals of both the domestication proposal and the new charter proposal are required to effect the domestication. Each of the domestication proposal and the new charter proposal is conditioned upon the approval of the other proposal to effect the domestication. The Proposed Charter and the Proposed Organizational Documents do not alter the Nevada statutory requirements for amendment of charter documents.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domestication affect the ordinary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 par value US$0.0001 per share, of Etoiles Capital Nevada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appraisal rights in connection with the proposed domestication?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v</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U.S. federal income tax consequences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more fully under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herein, we intend for the domestication to qualify as a reorganization within the meaning of Section 368(a) of the Code (a “Reorganization”). However, U.S. federal income tax rules regarding Reorganizations are complex and there is no assurance that the domestication will qualify as a Reorganization. If the domestication so qualifies, subject to the “passive foreign investment company” (“PFIC”) rules discussed below and under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 U.S. Holders (as defined in “</w:t>
      </w:r>
      <w:r>
        <w:rPr>
          <w:rFonts w:ascii="Times New Roman;Times;Serif" w:hAnsi="Times New Roman;Times;Serif"/>
          <w:b w:val="false"/>
          <w:i/>
          <w:caps w:val="false"/>
          <w:smallCaps w:val="false"/>
          <w:sz w:val="20"/>
        </w:rPr>
        <w:t>Material U.S. Federal Income Tax Considerations—U.S. Holders</w:t>
      </w:r>
      <w:r>
        <w:rPr>
          <w:rFonts w:ascii="Times New Roman;Times;Serif" w:hAnsi="Times New Roman;Times;Serif"/>
          <w:b w:val="false"/>
          <w:i w:val="false"/>
          <w:caps w:val="false"/>
          <w:smallCaps w:val="false"/>
          <w:sz w:val="20"/>
        </w:rPr>
        <w:t>”) generally will be subject to Section 367(b) of the Code and, as a result:</w:t>
      </w:r>
    </w:p>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 beneficially owns (directly, indirectly or constructively) 10% or more of the total combined voting power of all classes of Etoiles Capital stock entitled to vote or 10% or more of the total value of all classes of Etoiles Capital stock (a “10% U.S. Shareholder”) on the date of the domestication must include in income as a dividend deemed paid by Etoiles Capital the “all earnings and profits amount” attributable to the existing ordinary shares it directly owns within the meaning of Treasury Regulations under Section 367 of the Code;</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whose Class A ordinary shares have a fair market value of $50,000 or more and who, on the date of the domestication, is not a 10% U.S. Shareholder will recognize gain (but not loss) with respect to its Class A ordinary shares in the domestication or, in the alternative, may elect to recognize the “all earnings and profits” amount attributable to such U.S. Holder’s Class A ordinary shares; and</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whose Class A ordinary shares have a fair market value of less than $50,000 on the date of the domestication and who, on the date of the domestication, is not a 10% U.S. Shareholder, should not be required to recognize any gain or loss, or include any part of the “all earnings and profits amount” in income under Section 367 of the Code, in connection with the domestication.</w:t>
            </w:r>
          </w:p>
        </w:tc>
      </w:tr>
    </w:tbl>
    <w:p>
      <w:pPr>
        <w:pStyle w:val="TextBody"/>
        <w:bidi w:val="0"/>
        <w:spacing w:before="0" w:after="0"/>
        <w:ind w:left="0" w:right="0" w:firstLine="403"/>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even if the domestication qualifies as a Reorganization, a U.S. Holder of Class A ordinary shares may, in certain circumstances, still recognize gain (but not loss) upon the deemed exchange of Class A ordinary shares for shares of Etoiles Capital Nevada Common Stock pursuant to the domestication under the PFIC rules of the Code equal to the excess, if any, of the fair market value of the shares of Common Stock deemed received in the domestication and the U.S. Holder’s adjusted tax basis in the corresponding Class A ordinary shares deemed surrendered in exchange therefor. The tax on any such gain so recognized would be imposed at the rate applicable to ordinary income and an interest charge would apply, absent certain elections. For a more complete discussion of the potential application of the PFIC rules to U.S. Holders as a result of the domestication, see the discussion in the section titled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403"/>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does not qualify as a Reorganization, then a U.S. Holder that exchanges its Class A ordinary shares for shares of Etoiles Capital Nevada Common Stock generally will recognize gain or loss equal to the difference between (i) the sum of the fair market value of the Common Stock received and (ii) the U.S. Holder’s adjusted tax basis in the Class A ordinary shares exchanged.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vi</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domestication may cause non-U.S. Holders (as defined in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below) to become subject to U.S. federal income withholding taxes on any dividends in respect of such non-U.S. Holder’s Common Stock subsequent to the domestication. Etoiles Capital does not expect to make any dividend distributions to its shareholders in the near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domestication are complex and will depend on a holder’s particular circumstances. All holders are strongly urged to consult their tax advisor for a full understanding of the tax consequences of the domestication, including the applicability and effect of U.S. federal, state, local and foreign income and other tax laws. For a more complete discussion of certain U.S. federal income tax considerations of the domestication, see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attend the annual general meeting virtually?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audio webcast of the annual general meeting will begin promptly at 9:00 a.m., Eastern Time ([ ], 2026, at 9:00 p.m., local time). Online access to the audio webcast will open 15 minutes prior to the start of the annual general meeting to allow time for you to log-in and test your device’s audio system. The annual general meeting is running the most updated version of the applicable software and plugins. You should ensure you have a strong Internet connection wherever you intend to participate virtually in the annual general meeting. You should also allow plenty of time to log in and ensure that you can hear streaming audio prior to the start of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Log-in Instructions</w:t>
      </w:r>
      <w:r>
        <w:rPr>
          <w:rFonts w:ascii="Times New Roman;Times;Serif" w:hAnsi="Times New Roman;Times;Serif"/>
          <w:b w:val="false"/>
          <w:i w:val="false"/>
          <w:caps w:val="false"/>
          <w:smallCaps w:val="false"/>
          <w:sz w:val="20"/>
        </w:rPr>
        <w:t>. To be admitted to the annual general meeting virtually, you will need to log-in at https://meeting.vstocktransfer.com/ETOILES[MONTH]26.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attend the annual general meeting virtually, will I be able to ask questions and have these questions answered during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choose to attend the annual general meeting virtually may submit questions for the annual general meeting after logging in. If such shareholders wish to submit a question, they shareholders are required to register in advance of the AGM, by emailing to ir@etoilesfin.com.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questions related to the business of the annual general meeting (the proposals being voted on) will be answered during the annual general meeting, subject to time constraints. Additional information regarding the ability of shareholders to ask questions during the annual general meeting, related to rules of conduct and other materials for the annual general meeting will be available at https://ir.etoilesgroup.com.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there are technical difficulties during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difficulties accessing the annual general meeting during the check-in or meeting time, please call the technical support number that will be posted on the meeting log-in page for assistance. Technical support will be available beginning approximately 15 minutes prior to the start of the annual general meeting through its conclusion. Additional information regarding matters addressing technical and logistical issues, including technical support during the annual general meeting, will be available on the meeting website.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Class A ordinary shares or Class B ordinary shares at the close of business on [   ], 2026 will be entitled to vote at the annual general meeting. On this record date, there were [   ] Class A ordinary shares and [   ] Class B ordinary shares outstanding and entitled to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   ], 2026 your ordinary shares were registered directly in your name with our transfer agent, VStock Transfer, LLC, then you are a shareholder of record.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   ], 2026 your ordinary shares were held, not in your name, but rather in an account at a brokerage firm, bank, dealer or other similar organization, then you are the beneficial owner of shares held in “street name” and the Notice of 2026 Annual General Meeting of Shareholders is being forwarded to you by that organization. The organization holding your account is considered to be the shareholder of record for purposes of voting at the annual general meeting. As a beneficial owner, you have the right to direct your broker or other agent regarding how to vote the shares in your account. You are also invited to attend the annual general meeting. However, since you are not the shareholder of record, you may not vote your shares at the annual general meeting unless you request and obtain a valid proxy from your broker or other agent.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vii</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annual general meeting to vote your shares. Shares represented by valid proxies, received in time for the annual general meeting and not revoked prior to the annual general meeting, will be voted at the annual general meeting. For instructions on how to change or revoke your proxy, see “</w:t>
      </w:r>
      <w:r>
        <w:rPr>
          <w:rFonts w:ascii="Times New Roman;Times;Serif" w:hAnsi="Times New Roman;Times;Serif"/>
          <w:b w:val="false"/>
          <w:i/>
          <w:caps w:val="false"/>
          <w:smallCaps w:val="false"/>
          <w:sz w:val="20"/>
        </w:rPr>
        <w:t>May I change or revoke my proxy?</w:t>
      </w:r>
      <w:r>
        <w:rPr>
          <w:rFonts w:ascii="Times New Roman;Times;Serif" w:hAnsi="Times New Roman;Times;Serif"/>
          <w:b w:val="false"/>
          <w:i w:val="false"/>
          <w:caps w:val="false"/>
          <w:smallCaps w:val="false"/>
          <w:sz w:val="20"/>
        </w:rPr>
        <w:t>” below.</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that you own entitles you to one vote or Class B ordinary share that you own entitles you to ten (10) votes.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plan to attend the annual general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If you properly submit a proxy without giving specific voting instructions, your shares will be voted in accordance with the Board’s recommendations as noted below. Voting by proxy will not affect your right to attend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VStock Transfer, LLC, or you have share certificates registered in your name, you may vote: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Internet or by telephone.</w:t>
            </w:r>
            <w:r>
              <w:rPr>
                <w:rFonts w:ascii="Times New Roman;Times;Serif" w:hAnsi="Times New Roman;Times;Serif"/>
                <w:sz w:val="20"/>
              </w:rPr>
              <w:t> Follow the instructions included in the proxy card to vote over the Internet or by telephone.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mail.</w:t>
            </w:r>
            <w:r>
              <w:rPr>
                <w:rFonts w:ascii="Times New Roman;Times;Serif" w:hAnsi="Times New Roman;Times;Serif"/>
                <w:sz w:val="20"/>
              </w:rPr>
              <w:t> You can also vote by mail by completing, signing, dating and returning the proxy card as instructed on the card. If you sign the proxy card but do not specify how you want your shares voted, they will be voted in accordance with the Board’s recommendations as noted below.</w:t>
            </w:r>
          </w:p>
        </w:tc>
      </w:tr>
    </w:tbl>
    <w:p>
      <w:pPr>
        <w:pStyle w:val="TextBody"/>
        <w:bidi w:val="0"/>
        <w:spacing w:before="0" w:after="283"/>
        <w:jc w:val="left"/>
        <w:rPr/>
      </w:pPr>
      <w:r>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Internet voting facilities for shareholders of record will be available 24 hours a day and will close at 11:59 p.m. Eastern Time on [   ],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VStock Transfer, LLC, the instructions to vote during the annual general meeting are to follow the link under the “Resources” button present on your device during the annual general meeting; the Control Number on your VStock voting document is required to vote.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shareholders owning shares through certain banks and brokers. If your shares are not registered in your own name and you plan to vote your shares in person at the annual general meeting, you should contact your broker or agent to obtain a “legal proxy,” and send that document as well as a completed voting document indicating your vote to “vote@vstocktransfer.com” prior to the Meeting in order to vote.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will be voted on at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shareholders will be asked to vote:</w:t>
      </w:r>
    </w:p>
    <w:p>
      <w:pPr>
        <w:pStyle w:val="TextBody"/>
        <w:shd w:fill="FFFFFF" w:val="clear"/>
        <w:bidi w:val="0"/>
        <w:spacing w:before="0" w:after="0"/>
        <w:ind w:left="360" w:right="0" w:hanging="0"/>
        <w:jc w:val="left"/>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0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7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domestication proposal;</w:t>
            </w:r>
          </w:p>
        </w:tc>
      </w:tr>
    </w:tbl>
    <w:p>
      <w:pPr>
        <w:pStyle w:val="TextBody"/>
        <w:bidi w:val="0"/>
        <w:spacing w:before="0" w:after="0"/>
        <w:ind w:left="36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20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35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new charter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3</w:t>
            </w:r>
            <w:r>
              <w:rPr>
                <w:rFonts w:ascii="Times New Roman;Times;Serif" w:hAnsi="Times New Roman;Times;Serif"/>
              </w:rPr>
              <w:t>.</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elect the following four director nominees named in this proxy statement/prospectus to serve as directors for three-year terms expiring at the annual general meeting in 2029 and until their successors are duly elected and qualified: Kit Shing, CHEUNG, Wesley CHU, Yeung Tak, CHEN and Nancy YANG (the “election of directors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viii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ratify the appointment of SRCO, C.P.A., Professional Corporation as our independent registered public accounting firm for the fiscal year ending December 31, 2026 (the “appointment of independent registered public accounting firm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r>
              <w:rPr>
                <w:rFonts w:ascii="Times New Roman;Times;Serif" w:hAnsi="Times New Roman;Times;Serif"/>
              </w:rPr>
              <w:t>.</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(the “adjournment proposal”);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6</w:t>
            </w:r>
            <w:r>
              <w:rPr>
                <w:rFonts w:ascii="Times New Roman;Times;Serif" w:hAnsi="Times New Roman;Times;Serif"/>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transact such other business that is properly presented at the annual general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 on the proposals?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as follows: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approval of the domestication proposal;</w:t>
            </w:r>
          </w:p>
        </w:tc>
      </w:tr>
    </w:tbl>
    <w:p>
      <w:pPr>
        <w:pStyle w:val="TextBody"/>
        <w:bidi w:val="0"/>
        <w:spacing w:before="0" w:after="283"/>
        <w:jc w:val="left"/>
        <w:rPr/>
      </w:pPr>
      <w:r>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approval of the new charter proposal;</w:t>
            </w:r>
          </w:p>
        </w:tc>
      </w:tr>
    </w:tbl>
    <w:p>
      <w:pPr>
        <w:pStyle w:val="TextBody"/>
        <w:bidi w:val="0"/>
        <w:spacing w:before="0" w:after="283"/>
        <w:jc w:val="left"/>
        <w:rPr/>
      </w:pPr>
      <w:r>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election of each of the nominees for director;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ratification of the appointment of SRCO, C.P.A., Professional Corporation as our independent registered public accounting firm for our fiscal year ending December 31, 2026; and</w:t>
            </w:r>
          </w:p>
        </w:tc>
      </w:tr>
    </w:tbl>
    <w:p>
      <w:pPr>
        <w:pStyle w:val="TextBody"/>
        <w:bidi w:val="0"/>
        <w:spacing w:before="0" w:after="283"/>
        <w:jc w:val="left"/>
        <w:rPr/>
      </w:pPr>
      <w:r>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adjournment proposal.</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 is presented at the annual general meeting, your proxy provides that your shares will be voted by the proxy holder listed in the proxy in accordance with the proxy holder’s best judgment. At the time this proxy statement/prospectus was first made available, we knew of no matters that needed to be acted on at the annual general meeting, other than those discussed in this proxy statement/prospectus.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give us your proxy, you may change or revoke it at any time before the annual general meeting. You may change or revoke your proxy in any one of the following ways: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received a proxy card, by signing a new proxy card with a date later than your previously delivered proxy and submitting it as instructed above;</w:t>
            </w:r>
          </w:p>
        </w:tc>
      </w:tr>
    </w:tbl>
    <w:p>
      <w:pPr>
        <w:pStyle w:val="TextBody"/>
        <w:bidi w:val="0"/>
        <w:spacing w:before="0" w:after="283"/>
        <w:jc w:val="left"/>
        <w:rPr/>
      </w:pPr>
      <w:r>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re-voting by Internet or by telephone as instructed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notifying Etoiles Capital Group Co., Ltd.’s chief financial officer in writing before the annual general meeting that you have revoked your proxy;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attending the annual general meeting and voting at the meeting. Attending the annual general meeting will not in and of itself revoke a previously submitted proxy. You must specifically request at the annual general meeting that it be revoked.</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proxy card?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proxy card if you hold our Class A ordinary shares in more than one account, which may be in registered form or held in street name. Please vote in the manner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for each account to ensure that all of your shares are voted.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ix</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shares be voted if I do not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or if you have share certificates, they will not be counted if you do not vote as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independent registered public accounting firm proposal without receiving instructions from you. Therefore, we encourage you to provide voting instructions to your bank, broker or other nominee. This ensures your shares will be voted at the annual general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Abstentions and broker non-votes, while considered present for the purposes of establishing a quorum, will not count as votes cast and will have no effect on the outcome of the vote on any of the proposals. If a shareholder does not give the broker voting instructions, under applicable self-regulatory organization rules, its broker may not vote its shares on “non-routine” proposals, such as the domestication proposal, new charter proposal, the election of directors proposal and the adjournment proposal.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3"/>
        <w:gridCol w:w="140"/>
        <w:gridCol w:w="9032"/>
      </w:tblGrid>
      <w:tr>
        <w:trPr/>
        <w:tc>
          <w:tcPr>
            <w:tcW w:w="10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1: Domestication Proposal</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special resolution, being the affirmative vote of the holders of at least two-thirds of the votes cast by the Class A ordinary shares, represented in person or by proxy, entitled to vote thereon, and who vote at the annual general meeting is required to approve the domestication proposal.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r>
        <w:trPr/>
        <w:tc>
          <w:tcPr>
            <w:tcW w:w="103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pPr>
            <w:r>
              <w:rPr/>
              <w:t> </w:t>
            </w:r>
          </w:p>
        </w:tc>
      </w:tr>
      <w:tr>
        <w:trPr/>
        <w:tc>
          <w:tcPr>
            <w:tcW w:w="10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2: New Charter Proposal</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special resolution, being the affirmative vote of the holders of at least two-thirds of the votes cast by the Class A ordinary shares, represented in person or by proxy, entitled to vote thereon, and who vote at the annual general meeting is required to approve the new charter proposal.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x</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2"/>
        <w:gridCol w:w="140"/>
        <w:gridCol w:w="8653"/>
      </w:tblGrid>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3: Election of Directors</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for the election of each director. If the number of shares voted “FOR” a director nominee exceeds the number of votes cast “AGAINST,” the nominee will be elected as a director. You may vote “FOR,” “AGAINST” or “ABSTAIN” on each of the nominees for election as director. Brokerage firms do not have authority to vote customers’ unvoted shares held by the firms in street name for the election of the directors.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r>
        <w:trPr/>
        <w:tc>
          <w:tcPr>
            <w:tcW w:w="141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4: Appointment of Independent Registered Public Accounting Firm Proposal</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ordinary resolution, being a resolution passed by the holders of not less than a simple majority of the votes cast by the Class A ordinary shares, represented in person or by proxy and entitled to vote thereon and who vote at the annual general meeting for this proposal is required to ratify the selection of our independent registered public accounting firm. If the number of shares voted “FOR” the ratification of the appointment of SRCO, C.P.A., Professional Corporation as our independent registered public accounting firm exceeds the number of votes cast “AGAINST,” the appointment of SRCO, C.P.A., Professional Corporation as our independent registered public accounting firm will be ratified. You may vote “FOR,” “AGAINST” or “ABSTAIN.” Abstentions will have no effect on the results of this vote. Brokerage firms have authority to vote customers’ unvoted shares held by the firms in street name on this proposal. Accordingly, there will be no broker non-votes with respect to this proposal. We are not required to obtain the approval of our shareholders to select our independent registered public accounting firm. However, if our shareholders do not ratify the appointment of SRCO, C.P.A., Professional Corporation as our independent registered public accounting firm for 2026, our Audit Committee of the Board (the “Audit Committee”) will reconsider its selection.</w:t>
            </w:r>
          </w:p>
        </w:tc>
      </w:tr>
      <w:tr>
        <w:trPr/>
        <w:tc>
          <w:tcPr>
            <w:tcW w:w="141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5: Adjournment Proposal</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being the affirmative vote of the holders of a majority of the votes cast by the Class A ordinary shares, represented in person or by proxy and entitled to vote at the annual general meeting and who vote at the annual general meeting. The adjournment proposal is not conditioned upon any other proposal. You may vote “FOR,” “AGAINST” or “ABSTAIN” on the adjournment proposal. Brokerage firms do not have authority to vote customers’ unvoted shares held by the firms in street name for the adjournment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annual general meeting, and we will publish preliminary, or final results if available, in a Current Report on Form 6-K within four business days of the annual general meeting. If final results are unavailable at the time we file the Form 6-K, then we will file an amended report on Form 6-K to disclose the final voting results within four business days after the final voting results are known.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xi</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one or more shareholders holding shares that represent not less than one-third of the outstanding ordinary shares carrying the right to vote at the annual general meeting is necessary to constitute a quorum at the annual general meeting. Votes of shareholders of record who are present at the annual general meeting in person or by proxy, abstentions, and broker non-votes are counted for purposes of determining whether a quorum exists.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Attending the Annual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offer two options for our 2026 annual general meeting: (1) viewing a live Webcast at https://meeting.vstocktransfer.com/ETOILES[MONTH]26 or (2) attending in person. The annual general meeting will be held at 9:00 a.m., Eastern Time ([ ], 2026, at 9:00 p.m., local time) on [ ], 2026 at Unit 03-04, 25/F, Cosco Tower, 183 Queen’s Road Central, Sheung Wan, Hong Kong.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Annual Disclosure Documents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brokers or other nominee record holders may be sending you a single set of our proxy materials if multiple Etoiles Capital’s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promptly deliver a separate copy of our proxy materials to you if you write or call our corporate secretary at: Unit 03-04, 25/F, Cosco Tower, 183 Queen’s Road Central, Sheung Wan, Hong Kong or contact by telephone number at +852 2398-8699.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Future Company Shareholder Communications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shareholders can elect to view or receive copies of future proxy materials over the Internet instead of receiving paper copies in the mail.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choose this option and save us the cost of producing and mailing these documents by:</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instructions provided on your proxy card; or</w:t>
            </w:r>
          </w:p>
        </w:tc>
      </w:tr>
    </w:tbl>
    <w:p>
      <w:pPr>
        <w:pStyle w:val="TextBody"/>
        <w:bidi w:val="0"/>
        <w:spacing w:before="0" w:after="283"/>
        <w:jc w:val="left"/>
        <w:rPr/>
      </w:pPr>
      <w:r>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instructions provided when you vote over the Internet.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xii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SUMMARY OF THE PROXY STATEMENT/PROSPECTUS</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from this proxy statement/prospectus and does not contain all of the information that is important to you. To better understand the proposals to be submitted for a vote at the annual general meeting, including the domestication, you should read this entire document carefully. This proxy statement/prospectus also includes forward-looking statements that involve risks and uncertainties. See “Special Note Regarding Forward-Looking Statements.”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Company</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exempted company with limited liability incorporated under the laws of the Cayman Islands on September 13, 2024, as a holding company. We conduct our operation through our indirect wholly-owned Hong Kong Operating Subsidiary, Etoiles Consultancy. Etoiles Financial, our other Hong Kong subsidiary, has no material operations of its own and is mainly used to handle administrative expenses. We operate in a single segment that represents the Company’s core business as an integrated investor relation service provider in Hong Kong.</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integrated investor relation services mainly comprise one of more of the following components:</w:t>
      </w:r>
    </w:p>
    <w:p>
      <w:pPr>
        <w:pStyle w:val="TextBody"/>
        <w:shd w:fill="FFFFFF" w:val="clear"/>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 of public relation: in assisting our clients to promote their corporate image, our Hong Kong Operating Subsidiary will assist in preparing promotional plan, preparing corporate presentation materials, designing investor relation websites, preparing advertising plans and publicity materials, providing support in roadshows and press conferences, coordinating ceremonies and interviews and assisting in crisis management;</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6" w:type="dxa"/>
            <w:tcBorders/>
            <w:vAlign w:val="center"/>
          </w:tcPr>
          <w:p>
            <w:pPr>
              <w:pStyle w:val="TableContents"/>
              <w:bidi w:val="0"/>
              <w:spacing w:before="0" w:after="283"/>
              <w:jc w:val="both"/>
              <w:rPr/>
            </w:pPr>
            <w:r>
              <w:rPr>
                <w:rFonts w:ascii="Times New Roman;Times;Serif" w:hAnsi="Times New Roman;Times;Serif"/>
                <w:sz w:val="20"/>
              </w:rPr>
              <w:t>Management of investor relation: in assisting our clients to manage relation with their investors, our Hong Kong Operating Subsidiary will assist in drafting investor relation media documents and coordinating shareholders meetings and press conferences and assist in identifying and approaching shareholders;</w:t>
            </w:r>
            <w:r>
              <w:rPr/>
              <w:t xml:space="preserve">    </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Tailored due diligence exercise: our Hong Kong Operating Subsidiary assists our clients in conducting due diligence on specific investment or acquisition targets worldwide, including reviewing statutory records, conducting site visits and preparing due diligence report; and</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9828" w:type="dxa"/>
        <w:jc w:val="left"/>
        <w:tblInd w:w="0" w:type="dxa"/>
        <w:tblLayout w:type="fixed"/>
        <w:tblCellMar>
          <w:top w:w="0" w:type="dxa"/>
          <w:left w:w="0" w:type="dxa"/>
          <w:bottom w:w="0" w:type="dxa"/>
          <w:right w:w="0" w:type="dxa"/>
        </w:tblCellMar>
      </w:tblPr>
      <w:tblGrid>
        <w:gridCol w:w="38"/>
        <w:gridCol w:w="35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value-added services such as website design enhancement and promotional video production.</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through our Hong Kong Operating Subsidiary, have achieved significant growth in our business. For each of the fiscal years ended December 31, 2025, 2024 and 2023, our total revenue was approximately US$3.2 million, US$2.5 million and US$0.1 million, respectively. The number of clients with revenue contribution to us was 1 for the fiscal year ended December 31, 2023, 22 for the fiscal year ended December 31, 2024 and 18 for the fiscal year ended December 31, 2025.</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principal executive office of Etoiles Capital is located at Unit 03-04, 25/F, Cosco Tower, 183 Queen’s Road Central, Sheung Wan, Hong Kong, and Etoiles Capital’s telephone number is +852 2398-8699. Additional information about Etoiles Capital and its subsidiaries is included in documents incorporated by reference into this proxy statement/prospectus. See “</w:t>
      </w:r>
      <w:r>
        <w:rPr>
          <w:rFonts w:ascii="Times New Roman;Times;Serif" w:hAnsi="Times New Roman;Times;Serif"/>
          <w:b w:val="false"/>
          <w:i/>
          <w:caps w:val="false"/>
          <w:smallCaps w:val="false"/>
          <w:sz w:val="20"/>
          <w:bdr w:val="single" w:sz="12" w:space="5" w:color="000000"/>
        </w:rPr>
        <w:t>Where You Can Find More Information and Incorporation by Reference</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Proposals to be put to the Annual Meeting</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summary of the proposals to be put to the annual general meeting.</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Domestication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asking its shareholders to approve the domestication proposal. The Board has unanimously approved a change of Etoiles Capital’s jurisdiction of incorporation from the Cayman Islands to the State of Nevada by deregistering as an exempted company in the Cayman Islands and continuing and domesticating as a corporation incorporated under the laws of the State of Nevada. To effect the domestication, upon approval of the domestication proposal and the new charter proposal, Etoiles Capital will file an application of deregistration with the Cayman Islands Registrar of Companies, together with the necessary accompanying documents and fees, and will file the Proposed Charter and a Certificate of Corporate Domestication with the Secretary of State of the State of Nevada, pursuant to which Etoiles Capital will be domesticated and continue as a Nevada corporation.</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   ], 2026, there are [   ] ordinary shares outstanding, comprised of [   ] Class A ordinary shares and [   ] Class B ordinary shares. 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proposal together with the new charter proposal, if approved, will approve a change of Etoiles Capital’s jurisdiction of incorporation from the Cayman Islands to the State of Nevada. Accordingly, while Etoiles Capital is currently governed by the Cayman Islands Companies Act, upon domestication, Etoiles Capital Nevada will be governed by the NRS. Accordingly, we urge shareholders to carefully consult the information set out below under “</w:t>
      </w:r>
      <w:r>
        <w:rPr>
          <w:rFonts w:ascii="Times New Roman;Times;Serif" w:hAnsi="Times New Roman;Times;Serif"/>
          <w:b w:val="false"/>
          <w:i/>
          <w:caps w:val="false"/>
          <w:smallCaps w:val="false"/>
          <w:sz w:val="20"/>
          <w:bdr w:val="single" w:sz="12" w:space="5" w:color="000000"/>
        </w:rPr>
        <w:t>Comparison of Corporate Governance and Shareholder Rights</w:t>
      </w:r>
      <w:r>
        <w:rPr>
          <w:rFonts w:ascii="Times New Roman;Times;Serif" w:hAnsi="Times New Roman;Times;Serif"/>
          <w:b w:val="false"/>
          <w:i w:val="false"/>
          <w:caps w:val="false"/>
          <w:smallCaps w:val="false"/>
          <w:sz w:val="20"/>
          <w:bdr w:val="single" w:sz="12" w:space="5" w:color="000000"/>
        </w:rPr>
        <w:t>.” Additionally, we note that in connection with the domestication proposal, Etoiles Capital is requesting its shareholders to approve the new charter proposal (discussed below) (with the approval of the domestication proposal being conditioned upon the new charter proposal also being approved). </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urge shareholders to carefully consult the Proposed Organizational Documents of Etoiles Capital Nevada, attached hereto as Annexes B and C. For additional information, see “</w:t>
      </w:r>
      <w:r>
        <w:rPr>
          <w:rFonts w:ascii="Times New Roman;Times;Serif" w:hAnsi="Times New Roman;Times;Serif"/>
          <w:b w:val="false"/>
          <w:i/>
          <w:caps w:val="false"/>
          <w:smallCaps w:val="false"/>
          <w:sz w:val="20"/>
          <w:bdr w:val="single" w:sz="12" w:space="5" w:color="000000"/>
        </w:rPr>
        <w:t>Proposal No.1 The Domestication Proposal</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New Charter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asking its shareholders to approve the new charter proposal, in connection with and conditioned on the domestication proposal. If the domestication proposal is approved and the new charter proposal is approved, Etoiles Capital will domesticate to the State of Nevada and in connection therewith alter its Existing Organizational Documents under the Cayman Islands Companies Act by replacing in full with the Proposed Organizational Documents of Etoiles Capital Nevada, in each case, under the NRS.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Proposed Organizational Documents differ in certain material respects from the Existing Organizational Documents, and we urge shareholders to carefully consult the full text of the Proposed Charter and the addendum to the Proposed Charter of Etoiles Capital Nevada, attached hereto as Annex B1 and Annex B2, respectively. Approvals of both the domestication proposal and the new charter proposal are required to effect the domestication, and the approval of the new charter proposal is conditioned upon the domestication proposal also being approved. If the domestication is not effected, then there will be no changes to the Existing Organizational Documents.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40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Election of Directors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shareholders are asked to elect the following four director nominees named in this proxy statement/prospectus to serve as directors for three-year terms expiring at the annual meeting in 2029 and until their successors are duly elected and qualified: Kit Shing, CHEUNG, Wesley CHU, Yeung Tak, CHEN and Nancy YANG. For additional information, see “</w:t>
      </w:r>
      <w:r>
        <w:rPr>
          <w:rFonts w:ascii="Times New Roman;Times;Serif" w:hAnsi="Times New Roman;Times;Serif"/>
          <w:b w:val="false"/>
          <w:i/>
          <w:caps w:val="false"/>
          <w:smallCaps w:val="false"/>
          <w:sz w:val="20"/>
          <w:bdr w:val="single" w:sz="12" w:space="5" w:color="000000"/>
        </w:rPr>
        <w:t>Election of Directors</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Appointment of Independent Registered Public Accounting Firm Proposal</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shareholders are also asked to approve, by ordinary resolution, a proposal to ratify the appointment of Ernst and Young as the Company’s independent registered public accounting firm for the Company’s fiscal year ending December 31, 2026. For additional information, see “</w:t>
      </w:r>
      <w:r>
        <w:rPr>
          <w:rFonts w:ascii="Times New Roman;Times;Serif" w:hAnsi="Times New Roman;Times;Serif"/>
          <w:b w:val="false"/>
          <w:i/>
          <w:caps w:val="false"/>
          <w:smallCaps w:val="false"/>
          <w:sz w:val="20"/>
          <w:bdr w:val="single" w:sz="12" w:space="5" w:color="000000"/>
        </w:rPr>
        <w:t>Proposal No. 5 Ratification of Selection of Independent Registered Public Accounting Firm</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Adjournment Proposal</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If based on the tabulated vote, there are not sufficient votes at the time of the annual general meeting to approve the preceding proposals, the Board may submit a proposal to adjourn the annual general meeting to a later date or dates, if necessary, to permit further solicitation of proxies. For additional information, see “</w:t>
      </w:r>
      <w:r>
        <w:rPr>
          <w:rFonts w:ascii="Times New Roman;Times;Serif" w:hAnsi="Times New Roman;Times;Serif"/>
          <w:b w:val="false"/>
          <w:i/>
          <w:caps w:val="false"/>
          <w:smallCaps w:val="false"/>
          <w:sz w:val="20"/>
          <w:bdr w:val="single" w:sz="12" w:space="5" w:color="000000"/>
        </w:rPr>
        <w:t>Proposal No. 6 The Adjournment Proposal</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Date, Time and Place of Annual Meeting of Etoiles Capital’s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annual general meeting will be held on [ ], 2026 at 9:00 a.m., Eastern Time ([ ], 2026, at 9:00 p.m., local time), physically at Unit 03-04, 25/F, Cosco Tower, 183 Queen’s Road Central, Sheung Wan, Hong Kong and virtually via live webcast at https://meeting.vstocktransfer.com/ETOILES[MONTH]26 or at such other time, on such other date and at such other place to which the meeting may be adjourned or postponed.</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Voting Power; Record Date</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Shareholders will be entitled to vote or direct votes to be cast at the annual general meeting if they owned ordinary shares at the close of business on [ ], 2026, which is the record date for the annual general meeting. Shareholders will have one vote for each Class A ordinary share owned at the close of business on the record date. If your shares are held in “street name” or are in a margin or similar account, you should contact your broker to ensure that votes related to the shares you beneficially own are properly counted.</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Quorum and Vote of Etoiles Capital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quorum of Etoiles Capital shareholders is necessary to hold a valid meeting. A quorum will be present at the annual general meeting if one or more shareholders holding shares that represent not less than one-third of the outstanding ordinary shares carrying the right to vote are present in person or by proxy. Abstentions and broker non-votes, while considered present for the purposes of establishing a quorum, will not count as a vote cast at the annual general meeting. As of the record date for the annual general meeting, [ ] ordinary shares would be required to achieve a quorum.</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proposals presented at the annual general meeting require the following votes: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Domestication proposal: The approval of the domestication proposal requires a special resolution under the Cayman Islands Companies Act and the Existing Organizational Documents, being the affirmative vote of the holders of at least two-thirds of the votes cast by the Class A ordinary shares, represented in person or by proxy and entitled to vote thereon,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charter proposal: The approval of the new charter proposal requires a special resolution under the Cayman Islands Companies Act, being the affirmative vote of the holders of at least two-thirds of the votes cast by the Class A ordinary shares, represented in person or by proxy and entitled to vote thereon, who vote at the annual general meeting.</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Election of Directors: Election of each Director requires an ordinary resolution under the Cayman Islands Companies Act, being the affirmative vote for each director by the holders of not less than a simple majority of the votes cast by the Class A ordinary shares, represented in person or by proxy and entitled to vote thereon and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Appointment of independent registered public accounting firm proposal: The approval of the appointment of independent registered public accounting firm proposal requires an ordinary resolution under the Cayman Islands Companies Act, being the affirmative vote for the proposal by the holders of not less than a simple majority of the votes cast by the Class A ordinary shares, represented in person or by proxy and entitled to vote thereon and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Adjournment proposal: The approval of the adjournment proposal requires an ordinary resolution under the Cayman Islands Companies Act, being the affirmative vote for the proposal by the holders of a majority of the votes cast by the Class A ordinary shares, represented in person or by proxy and entitled to vote thereon and who vote at the annual general meeting.</w:t>
            </w:r>
          </w:p>
        </w:tc>
      </w:tr>
    </w:tbl>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Abstentions and broker non-votes, while considered present for the purposes of establishing a quorum, will not count as a vote cast at the annual general meeting. </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Appraisal Rights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Proxy Solicitation</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Proxies may be solicited by mail, telephone or in person. If a shareholder grants a proxy, it may still vote its shares in person if it revokes its proxy before the annual general meeting. A shareholder also may change its vote by submitting a later-dated proxy as described in the section entitled “</w:t>
      </w:r>
      <w:r>
        <w:rPr>
          <w:rFonts w:ascii="Times New Roman;Times;Serif" w:hAnsi="Times New Roman;Times;Serif"/>
          <w:b w:val="false"/>
          <w:i/>
          <w:caps w:val="false"/>
          <w:smallCaps w:val="false"/>
          <w:sz w:val="20"/>
          <w:bdr w:val="single" w:sz="12" w:space="5" w:color="000000"/>
        </w:rPr>
        <w:t>Important Information About the Annual Meeting, Voting and the Domestication Proposal—May I change or revoke my proxy</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Recommendation to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Each of (i) the full Board of Etoiles Capital and (ii) the directors of the Board who do not own Class B ordinary shares believe that the domestication proposal and the other proposals to be presented at the annual general meeting are in the best interest of the Company and unanimously recommend that its shareholders vote “FOR” the approval of the domestication proposal, “FOR” the approval of the new charter proposals, “FOR” the election of each director nominee, “FOR” the appointment of independent registered public accounting firm proposal and “FOR” the adjournment proposal, in each case, if presented to the annual general meeting.</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Material U.S. Federal Income Tax Considerations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 discussion summarizing the U.S. federal income tax considerations of the domestication, please see “</w:t>
      </w:r>
      <w:r>
        <w:rPr>
          <w:rFonts w:ascii="Times New Roman;Times;Serif" w:hAnsi="Times New Roman;Times;Serif"/>
          <w:b w:val="false"/>
          <w:i/>
          <w:caps w:val="false"/>
          <w:smallCaps w:val="false"/>
          <w:sz w:val="20"/>
          <w:bdr w:val="single" w:sz="12" w:space="5" w:color="000000"/>
        </w:rPr>
        <w:t>Material U.S. Federal Income Tax Considerations</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40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Anticipated Accounting Treatment</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Domestication</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do not believe there will be a material accounting effect or change in the carrying amount of the consolidated assets and liabilities of Etoiles Capital as a result of domestication. The business, capitalization, assets and liabilities and financial statements of Etoiles Capital Nevada immediately following the domestication will be the same as those of Etoiles Capital immediately prior to the domestication.</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Comparison of Corporate Governance and Shareholder Rights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will change Etoiles Capital’s jurisdiction of incorporation from the Cayman Islands to Nevada and, as a result, Etoiles Capital’s Existing Organizational Documents will be altered and replaced in full with the Proposed Organizational Documents, and Etoiles Capital Nevada will be governed by the NRS rather than Cayman Islands Companies Act. There are differences between Cayman Islands corporate law, which currently governs Etoiles Capital, and Nevada corporate law, which will govern Etoiles Capital Nevada following the effectiveness of the domestication. Additionally, there are differences between the Proposed Organization Documents of Etoiles Capital Nevada and the Existing Organizational Documents of Etoiles Capital. For a summary of the material differences among the rights of holders of common stock and holders of ordinary shares, see “</w:t>
      </w:r>
      <w:r>
        <w:rPr>
          <w:rFonts w:ascii="Times New Roman;Times;Serif" w:hAnsi="Times New Roman;Times;Serif"/>
          <w:b w:val="false"/>
          <w:i/>
          <w:caps w:val="false"/>
          <w:smallCaps w:val="false"/>
          <w:sz w:val="20"/>
          <w:bdr w:val="single" w:sz="12" w:space="5" w:color="000000"/>
        </w:rPr>
        <w:t>Comparison of Corporate Governance and Shareholder Rights</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Regulatory Matters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is not subject to any additional federal or state regulatory requirements or approvals, except for filings with the Cayman Islands and the State of Nevada necessary to effectuate the domestication.</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evaluating the proposals to be presented at the annual general meeting, a shareholder should carefully read this proxy statement/prospectus and especially consider the factors discussed in the section entitled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Sources of Industry and Market Data</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Where information has been sourced from a third party, the source of such information has been identified.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Emerging Growth Company</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an “emerging growth company,” as defined in Section 2(a)(19) of the Securities Act, as modified by the Jumpstart Our Business Startups Act of 2012, as amended (the “JOBS Act”), and it may take advantage of certain exemptions from various reporting requirements that are applicable to other companies that are not emerging growth companies, including, but not limited to, not being required to comply with the auditor attestation requirements of Section 404 of the Sarbanes-Oxley Act of 2002, as amended (“SOX”),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Etoiles Capital has elected to take advantage of the benefits of this extended transition period. This may make comparison of Etoiles Capital’s financial statements with certain other public companies difficult or impossible because of the potential differences in accounting standards used.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will remain an emerging growth company until the earlier of (1) the last day of the fiscal year (a) following the fifth anniversary of the completion of the first sale of its securities pursuant to a registration statement that has been declared effective, (b) in which it has total annual gross revenue of at least US$1.235 billion (as adjusted for inflation pursuant to SEC rules from time to time), or (c) in which it is deemed to be a large accelerated filer, which means the market value of its Class A ordinary shares that are held by non-affiliates exceeds US$700 million as of the prior June 30th, and (2) the date on which it has issued more than US$1.00 billion in non-convertible debt during the prior three-year period.</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TICKER SYMBOL AND DIVIDEND INFORMATION</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Etoiles Capital Ordinary Shares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Class A ordinary shares are currently listed on Nasdaq under the symbol “EFTY “. Etoiles Capital Nevada’s Common Stock will continue to trade under the same symbol following the domestication. There is no public market for our Class B ordinary shares.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Holders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   ], 2026, there were [   ] holders of record of our Class A ordinary shares and [ ] holders of record of our Class B ordinary shares.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Dividend Policy</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cash dividends have ever been declared or paid on the common equity to date by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should carefully consider the following risk factors, together with all of the other information included and incorporated by reference in this proxy statement/prospectus, before they decide whether to vote or instruct their vote to be cast to approve the proposals described in this proxy statement/prospectus. These risks could have a material adverse effect on the business, results of operations or financial condition of Etoiles Capital Nevada and could adversely affect the trading price of its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as a shareholder will change as a result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your rights as a shareholder of Etoiles Capital arise under the laws of the Cayman Islands, as well as the Existing Organizational Documents. At the effective time of the domestication, your rights as a shareholder of Etoiles Capital Nevada will arise under Nevada law, as well as the Proposed Organizational Documents. The Proposed Organizational Documents and Nevada law contain provisions that differ in certain material respects from those in our Existing Organizational Documents and Cayman Islands law and, therefore, some of your rights as a shareholder will change. For a description of your rights following the domestication and how they may differ from your current rights, please see the section entitled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We also urge shareholders to carefully consult the information set forth in the Existing Organizational Documents of Etoiles Capital, attached hereto as Annex A, and the Proposed Organizational Documents of Etoiles Capital Nevada, attached hereto as Annexes B and 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domesticate to the U.S. and such domestication may result in disruptions to our business or otherwise materially harm our results of operations or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while our principal offices, management and board members are located in Hong Kong. If the domestication proposal and new charter proposal are approved, we will begin proceedings in the Cayman Islands to domesticate to the State of Nevada in the United States, while maintaining our Nasdaq listing. Such domestication may require a significant amount of time, cost and focus from management and other employees, which may divert attention from our research and clinical activities. If any domestication activities we undertake in the future fail to achieve some or all of the expected benefits therefrom, our business, results of operations and financial condition could be materially and adversely affected. In addition, the domestication of the company is subject to all corporate approvals, including an approval of our shareholders pursuant to this proxy statement/prospectus, and such domestication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domestication. If the plan to domesticate the company is adopted and executed, we do not intend to make any cash distributions to shareholders to pay such taxes.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Proposed Organizational Documents and under Nevada law could make an acquisition of us more difficult and limit attempts by our shareholders to replace or remove our current management.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Existing Organizational Documents and Proposed Organizational Documents contain anti-takeover provisions that may have the effect of delaying or preventing a change in control or changes in our management. The Proposed Organizational Documents, which will be effective at the effective time of the domestication, include the following anti-takeover provisions: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rules regarding how shareholders may present proposals to nominate directors for election at shareholder meetings; and</w:t>
            </w:r>
          </w:p>
        </w:tc>
      </w:tr>
    </w:tbl>
    <w:p>
      <w:pPr>
        <w:pStyle w:val="TextBody"/>
        <w:bidi w:val="0"/>
        <w:spacing w:before="0" w:after="283"/>
        <w:jc w:val="left"/>
        <w:rPr/>
      </w:pPr>
      <w:r>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directors, and not shareholders, to fill vacancies on the Board.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comparison of how these provisions may differ from your current rights, please see “</w:t>
      </w:r>
      <w:r>
        <w:rPr>
          <w:rFonts w:ascii="Times New Roman;Times;Serif" w:hAnsi="Times New Roman;Times;Serif"/>
          <w:b w:val="false"/>
          <w:i/>
          <w:caps w:val="false"/>
          <w:smallCaps w:val="false"/>
          <w:sz w:val="20"/>
        </w:rPr>
        <w:t>Comparison of Corporate Governance and Shareholder Rights.”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shareholders to replace or remove our current management by making it more difficult for shareholders to replace members of Etoiles Capital Nevada’s board of directors, which is responsible for appointing the members of our management, and may discourage, delay or prevent a transaction involving a change in control of Etoiles Capital Nevada that is in the best interest of our minority shareholders. Even in the absence of a takeover attempt, the existence of these provisions may adversely affect the prevailing market price of our common stock if shareholders view them as discouraging future takeover attempts.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 passive foreign investment company, which could result in adverse United States federal income tax consequences to U.S.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Etoiles Capital is a PFIC or has been a PFIC during the holding period of a U.S. Holder of Etoiles Capital Class A ordinary shares, such U.S. Holder of Class A ordinary shares may be subject to certain adverse U.S. federal income tax consequences as a result of the domestication. There is no assurance that Etoiles Capital is not currently or has not been a PFIC during the holding period of a U.S. Holder of Class A ordinary shares. If Etoiles Capital has been a PFIC for any taxable year during the holding period of a U.S. Holder of Class A ordinary shares (and a U.S. Holder of Class A ordinary shares has not made certain elections with respect to its Class A ordinary shares), such U.S. Holder of Class A ordinary shares may recognize gain (but not loss if the domestication qualifies as a Reorganization) upon the exchange of Class A ordinary shares for shares of Etoiles Capital Nevada Common Stock pursuant to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Etoiles Capital is treated as a PFIC for U.S. federal income tax purposes is a factual determination that must be made annually at the close of each taxable year and, thus, is subject to significant uncertainty. Based upon our current income and assets, we do not expect to be a PFIC for the current taxable year. However, there can be no assurance that Etoiles Capital will not be treated as a PFIC in the current taxable year or any other taxable year. Moreover, the application of the PFIC rules are subject to uncertainty in several respects, and there can be no assurance that the IRS will not take a contrary position or that a court will not sustain such a challenge by the IRS.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explanation of the tax consequences of PFIC classification to U.S. Holders, see the section of this proxy statement/prospectus captioned “</w:t>
      </w:r>
      <w:r>
        <w:rPr>
          <w:rFonts w:ascii="Times New Roman;Times;Serif" w:hAnsi="Times New Roman;Times;Serif"/>
          <w:b w:val="false"/>
          <w:i/>
          <w:caps w:val="false"/>
          <w:smallCaps w:val="false"/>
          <w:sz w:val="20"/>
        </w:rPr>
        <w:t>Material U.S. Federal Income Tax Considerations—U.S. Holders—PFIC Considerations.”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incur transaction costs in connection with the completion of the domestication and related transactions, some of which will be incurred whether or not the domestication is completed.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transaction costs in connection with the domestication and related transactions. Our Board may decide to defer or abandon the domestication at any time prior to the completion of the domestication. The substantial majority of these costs will be incurred regardless of whether the domestication is completed and prior to your vote to adopt the domestication resolution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the domestication qualifies as a Reorganization, a U.S. Holder may still recognize gain with respect to their Class A ordinary shares as a result of the domestication and may cause non-U.S. Holders to become subject to U.S. federal income withholding tax after the domestication.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and qualifications described in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including the application of the PFIC rules and Section 367(b) of the Code, the domestication is intended to qualify as a Reorganization and, if so treated, a U.S. Holder (as defined below) generally would not recognize gain or loss on the deemed exchange of Etoiles Capital Class A ordinary shares for shares of Etoiles Capital Nevada Common Stock pursuant to the domestication. If the domestication qualifies as a Reorganization, a U.S. Holder of Class A ordinary shares may still recognize gain (but not loss) or be required to include the “all earnings and profits amount” upon the exchange of its Class A ordinary shares for shares of Common Stock pursuant to the domestication under Section 367(b) of the Code. See the discussion under “</w:t>
      </w:r>
      <w:r>
        <w:rPr>
          <w:rFonts w:ascii="Times New Roman;Times;Serif" w:hAnsi="Times New Roman;Times;Serif"/>
          <w:b w:val="false"/>
          <w:i/>
          <w:caps w:val="false"/>
          <w:smallCaps w:val="false"/>
          <w:sz w:val="20"/>
        </w:rPr>
        <w:t>Material U.S. Federal Income Tax Considerations—U.S. Holders—Effects of Section 367 to U.S. Holders</w:t>
      </w:r>
      <w:r>
        <w:rPr>
          <w:rFonts w:ascii="Times New Roman;Times;Serif" w:hAnsi="Times New Roman;Times;Serif"/>
          <w:b w:val="false"/>
          <w:i w:val="false"/>
          <w:caps w:val="false"/>
          <w:smallCaps w:val="false"/>
          <w:sz w:val="20"/>
        </w:rPr>
        <w:t>” for further details.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the PFIC rules, even if the domestication qualifies as a Reorganization, a U.S. Holder of Etoiles Capital Class A ordinary shares may, in certain circumstances, still recognize gain (but not loss) upon the deemed exchange of its Class A ordinary shares for shares of Etoiles Capital Nevada Common Stock under the proposed Treasury Regulations promulgated under Section 1291(f) of the Code. Under such rules, the gain would be equal to the excess, if any, of the fair market value of the shares of Common Stock deemed received in the domestication and the U.S. Holder’s adjusted tax basis in the corresponding Class A ordinary shares deemed surrendered in exchange therefor. The tax on any such gain so recognized would be imposed at the rate applicable to ordinary income and an interest charge would apply, absent certain elections. For a more complete discussion of the potential application of the PFIC rules to U.S. Holders as a result of the domestication, see the discussion in the section titled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domestication may cause non-U.S. Holders (as defined in “</w:t>
      </w:r>
      <w:r>
        <w:rPr>
          <w:rFonts w:ascii="Times New Roman;Times;Serif" w:hAnsi="Times New Roman;Times;Serif"/>
          <w:b w:val="false"/>
          <w:i/>
          <w:caps w:val="false"/>
          <w:smallCaps w:val="false"/>
          <w:sz w:val="20"/>
        </w:rPr>
        <w:t xml:space="preserve">Material U.S. Federal Income Tax Considerations” </w:t>
      </w:r>
      <w:r>
        <w:rPr>
          <w:rFonts w:ascii="Times New Roman;Times;Serif" w:hAnsi="Times New Roman;Times;Serif"/>
          <w:b w:val="false"/>
          <w:i w:val="false"/>
          <w:caps w:val="false"/>
          <w:smallCaps w:val="false"/>
          <w:sz w:val="20"/>
        </w:rPr>
        <w:t>herein) to become subject to U.S. federal income withholding taxes on any dividends in respect of such non-U.S. Holder’s Etoiles Capital Nevada Common Stock subsequent to the domestication. Etoiles Capital does not expect to make any dividend distributions to its shareholders in the near future.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CONSULT YOUR TAX ADVISORS WITH RESPECT TO THE APPLICATION OF U.S. FEDERAL TAX LAWS TO YOUR PARTICULAR SITUATION, AS WELL AS ANY TAX CONSEQUENCES ARISING UNDER THE LAWS OF ANY STATE, LOCAL OR NON-U.S. JURISDICTION.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PROPOSAL NO. 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DOMESTICATION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this proxy statement/prospectus, we are asking our shareholders to approve the domestication proposal. Each of (i) the full Board of Etoiles Capital and (ii) the directors of the Board who do not own Class B ordinary shares unanimously approved and recommended that shareholders approve a change of our jurisdiction of incorporation from the Cayman Islands to the State of Nevada by deregistering as an exempted company in the Cayman Islands and domesticating and continuing as a corporation incorporated under the laws of the State of Nevada. To effect the domestication, upon approval of the domestication proposal and the new charter proposal, we will file an application for deregistration with the Cayman Islands Registrar of Companies, together with the necessary accompanying documents and fees, and file the Proposed Charter and a Certificate of Corporate Domestication with the Secretary of State of the State of Nevada, under which we will be domesticated and continue as a Nevada corporation. 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domestication proposal together with the new charter proposal, if approved, will approve a change of our jurisdiction of incorporation from the Cayman Islands to the State of Nevada. Accordingly, while we are currently governed by the Cayman Islands Companies Act, upon effectiveness of the domestication, Etoiles Capital Nevada will be governed by the NRS. We urge shareholders to carefully consult the information set out below under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Additionally, in connection with the domestication proposal, we are asking Etoiles Capital’s shareholders to approve the new charter proposal (with the approval of the domestication proposal being conditioned upon the new charter proposal also being approved). We urge shareholders to carefully consult the information provided in the Existing Organizational Documents, attached hereto as Annex A, and the Proposed Organizational Documents of Etoiles Capital Nevada, forms of which are attached hereto as Annexes B and 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there are significant advantages to Etoiles Capital Nevada that will arise as a result of a change of domicile to Nevada. Further, our Board believes that any direct benefit that Nevada law provides to a corporation also indirectly benefits the shareholders, who are the owners of the corporation. Our Board believes that there are several reasons why a domestication from the Cayman Islands to Nevada is in the best interests of us and our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explained in more detail below, our reasons for the domestication can be summarized as follows: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Increased Benefits for Our Shareholders. </w:t>
      </w:r>
      <w:r>
        <w:rPr>
          <w:rFonts w:ascii="Times New Roman;Times;Serif" w:hAnsi="Times New Roman;Times;Serif"/>
          <w:b w:val="false"/>
          <w:i w:val="false"/>
          <w:caps w:val="false"/>
          <w:smallCaps w:val="false"/>
          <w:sz w:val="20"/>
        </w:rPr>
        <w:t>The domestication is expected to result in benefits for our shareholders, including (i) simplified shareholder tax reporting and tax efficiency, (ii) enhanced shareholder ownership because some institutional investors are subject to constraints on owning stock of companies not incorporated in the United States, (iii) potential for increased common stock liquidity due in part to the potentially enhanced shareholder ownership described above and (iv) that becoming a Nevada corporation is expected to result in us being subject to a body of law that is likely more familiar to our shareholders and potential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Increased Ability to Attract and Retain Qualified Directors</w:t>
      </w:r>
      <w:r>
        <w:rPr>
          <w:rFonts w:ascii="Times New Roman;Times;Serif" w:hAnsi="Times New Roman;Times;Serif"/>
          <w:b w:val="false"/>
          <w:i w:val="false"/>
          <w:caps w:val="false"/>
          <w:smallCaps w:val="false"/>
          <w:sz w:val="20"/>
        </w:rPr>
        <w:t>. Domestication from the Cayman Islands to Nevada is attractive to directors, officers, and shareholders alike. Etoiles Capital Nevada’s incorporation in Nevada may make Etoiles Capital Nevada more attractive to future candidates for our Board. To date, we have not experienced difficulty in retaining directors or officers, but directors of public companies are exposed to significant potential liability. Thus, candidates’ familiarity and comfort with Nevada laws—especially those relating to director personal liability and indemnification (as discussed below)—draw such qualified candidates to Nevada corporations. Our Board therefore believes that providing the benefits afforded directors by Nevada law will enable Etoiles Capital Nevada to compete more effectively with other public companies in the recruitment of talented and experienced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We believe that, in general, Nevada law is more developed and provides more guidance than Cayman Islands law on matters regarding limitation of director liability. As a result, we believe that the corporate environment afforded by Nevada will enable Etoiles Capital Nevada to compete more effectively with other public companies in attracting and retaining new directors.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Accounting Treatment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there will be a material accounting effect or change in the carrying amount of the consolidated assets and liabilities of Etoiles Capital as a result of domestication. The business, capitalization, assets and liabilities and financial statements of Etoiles Capital Nevada immediately following the domestication will be the same as those of ours immediately prior to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being the affirmative vote of the holders of at least two-thirds of the votes cast by the Class A ordinary shares, represented in person or by proxy, entitled to vote thereon, and who vote at the annual general meeting.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domestication proposal is conditioned on the approval and adoption of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 Special Resolution that pursuant to the power contained in Article 30 of the Company’s second amended and restated memorandum and articles of association, the domestication of Etoiles Capital Group Co., Ltd., being the registration by way of domestication and continuation as a body corporate under the laws of the State of Nevada and deregistration in the Cayman Islands, be approved, and Etoiles Capital Group Co., Ltd. be authorized to file the Proposed Charter and a Certificate of Corporate Domestication with the Secretary of State of the State of Nevada to domesticate and continue as a corporation in the State of Nevada, pursuant to Sections 206 and 207 of the Companies Act (As Revised) of the Cayman Islands and section 92A.270 of the Nevada Revised Statutes.”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SHAREHOLDERS VOTE “FOR” THE APPROVAL OF THE DOMESTICATION PROPOSAL.</w:t>
      </w:r>
    </w:p>
    <w:p>
      <w:pPr>
        <w:pStyle w:val="TextBody"/>
        <w:shd w:fill="FFFFFF" w:val="clear"/>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shd w:fill="FFFFFF" w:val="clear"/>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PROPOSAL NO. 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CHARTER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and the new charter proposal are approved, Etoiles Capital will domesticate to the State of Nevada and in connection therewith alter its Existing Organizational Documents under the Cayman Islands Companies Act by replacing them in full with the Proposed Charter and Proposed Bylaws of Etoiles Capital Nevada, in each case, under the NRS. The domestication proposal is conditioned on the approval and adoption of the Proposed Charter being requested pursuant to this new charter proposal. The Proposed Charter and the Proposed Organizational Documents do not alter the Nevada statutory requirements for amendment of charter documents. We urge shareholders to carefully consult the information set out below under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being the affirmative vote of the holders of at least two-thirds of the votes cast by the Class A ordinary shares, represented in person or by proxy, entitled to vote thereon, and who vote at the annual general meeting.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charter proposal is conditioned on the approval and adoption of the domestication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 special resolution, that the proposed alterations to the existing second amended and restated memorandum and articles of association of Etoiles Capital Group Co., Ltd. (the “Articles”) be and are hereby approved and the Articles be replaced in their entirety with, and the shareholders hereby approve and adopt, the articles of incorporation and the addendum to the articles of incorporation of Etoiles Capital Group Co., Ltd., a copy of which is attached to the proxy statement/prospectus as Annex B1 and Annex B2, respectively, effective at the effective time of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OUR SHAREHOLDERS VOTE “FOR” THE APPROVAL OF THE NEW CHARTER PROPOSAL.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a_009"/>
      <w:bookmarkEnd w:id="8"/>
      <w:r>
        <w:rPr>
          <w:rFonts w:ascii="Times New Roman;Times;Serif" w:hAnsi="Times New Roman;Times;Serif"/>
          <w:b/>
          <w:i w:val="false"/>
          <w:caps w:val="false"/>
          <w:smallCaps w:val="false"/>
          <w:sz w:val="20"/>
        </w:rPr>
        <w:t>PROPOSAL NO. 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voted to nominate each of Kit Shing, CHEUNG, Wesley CHU, Yeung Tak, CHEN and Nancy YANG for election at the annual general meeting for a term of three years to serve until the 2029 annual general meeting of shareholders, and until their respective successors are elected and qualified. If each of the directors is elected and the domestication proposal is approved, the members of the Board of Etoiles Capital Nevada will remain the same following the domestication. For additional information on the director nominees, see “</w:t>
      </w:r>
      <w:r>
        <w:rPr>
          <w:rFonts w:ascii="Times New Roman;Times;Serif" w:hAnsi="Times New Roman;Times;Serif"/>
          <w:b w:val="false"/>
          <w:i/>
          <w:caps w:val="false"/>
          <w:smallCaps w:val="false"/>
          <w:sz w:val="20"/>
        </w:rPr>
        <w:t>Management and Corporate Governance—Director Nominees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authority to vote for any of these nominees is withheld, the shares represented by the enclosed proxy will be voted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election of each of Kit Shing, CHEUNG, Wesley CHU, Yeung Tak, CHEN and Nancy YANG as directors. In the event that any nominee becomes unable or unwilling to serve, the shares represented by the enclosed proxy will be voted for the election of such other person as the Board may recommend in that nominee’s place. We have no reason to believe that any nominee will be unable or unwilling to serve as a director.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for the election of each director.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resolutions to be proposed is as follows: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Kit Shing, CHEUNG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Wesley CHU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Yeung Tak, CHEN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Nancy YANG be appointed to serve as a director on the Board for a three-year term that will expire at the annual general meeting of shareholders in 2029.”</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ELECTION OF EACH OF KIT SHING, CHEUNG, WESLEY CHU, YEUNG TAK, CHEN AND NANCY YANG. AS DIRECTORS, AND PROXIES SOLICITED BY THE BOARD WILL BE VOTED IN FAVOR THEREOF UNLESS A SHAREHOLDER HAS INDICATED OTHERWISE ON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a_010"/>
      <w:bookmarkEnd w:id="9"/>
      <w:r>
        <w:rPr>
          <w:rFonts w:ascii="Times New Roman;Times;Serif" w:hAnsi="Times New Roman;Times;Serif"/>
          <w:b/>
          <w:i w:val="false"/>
          <w:caps w:val="false"/>
          <w:smallCaps w:val="false"/>
          <w:sz w:val="20"/>
        </w:rPr>
        <w:t>PROPOSAL NO. 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SELECTION OF INDEPENDENT REGISTERED PUBLIC ACCOUNTING FIRM</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SRCO, C.P.A., Professional Corporation, as our independent registered public accounting firm, to audit our financial statements for the fiscal year ending December 31, 2026. SRCO, C.P.A., Professional Corporation has served as our independent registered public accounting firm since 2024. The Board proposes that the shareholders ratify this appointment. SRCO, C.P.A., Professional Corporation audited our financial statements for the fiscal year ended December 31, 2025 and 2024. We do not expect that representatives of SRCO, C.P.A., Professional Corporation will be present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to appoint SRCO, C.P.A., Professional Corporation, the Audit Committee reviewed auditor independence issues and existing commercial relationships with SRCO, C.P.A., Professional Corporation and concluded that SRCO, C.P.A., Professional Corporation has no commercial relationship with the Company that would impair its independence for the fiscal year ending December 31,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Audit and Permissible Non-Audit Services of Independent Public Accountant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two categories—audit or other no-audit services that the independent auditor provides. Prior to the annual engagement, the Audit Committee may grant general pre-approval for independent auditor services within these two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initial public offering were pre-approved by the Audit Committee.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aggregate fees billed for professional services rendered by SRCO, C.P.A., Professional Corporation to us in 2025 and 2024. A description of these various fees and services follows the table (in thousands).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840" w:type="dxa"/>
        <w:jc w:val="left"/>
        <w:tblInd w:w="0" w:type="dxa"/>
        <w:tblLayout w:type="fixed"/>
        <w:tblCellMar>
          <w:top w:w="0" w:type="dxa"/>
          <w:left w:w="0" w:type="dxa"/>
          <w:bottom w:w="28" w:type="dxa"/>
          <w:right w:w="0" w:type="dxa"/>
        </w:tblCellMar>
      </w:tblPr>
      <w:tblGrid>
        <w:gridCol w:w="1865"/>
        <w:gridCol w:w="60"/>
        <w:gridCol w:w="60"/>
        <w:gridCol w:w="800"/>
        <w:gridCol w:w="60"/>
        <w:gridCol w:w="60"/>
        <w:gridCol w:w="60"/>
        <w:gridCol w:w="800"/>
        <w:gridCol w:w="75"/>
      </w:tblGrid>
      <w:tr>
        <w:trPr/>
        <w:tc>
          <w:tcPr>
            <w:tcW w:w="186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Audit Fees: This category represents fees for professional services provided in connection with the audit of our financial statements, review of our quarterly financial statements, and audit services pertaining to other regulatory filings such as our proxy statements and registration statements.</w:t>
            </w:r>
          </w:p>
        </w:tc>
      </w:tr>
    </w:tbl>
    <w:p>
      <w:pPr>
        <w:pStyle w:val="TextBody"/>
        <w:bidi w:val="0"/>
        <w:spacing w:before="0" w:after="283"/>
        <w:jc w:val="left"/>
        <w:rPr/>
      </w:pPr>
      <w:r>
        <w:rPr/>
        <w:t> </w:t>
      </w:r>
    </w:p>
    <w:tbl>
      <w:tblPr>
        <w:tblW w:w="6843" w:type="dxa"/>
        <w:jc w:val="left"/>
        <w:tblInd w:w="0" w:type="dxa"/>
        <w:tblLayout w:type="fixed"/>
        <w:tblCellMar>
          <w:top w:w="0" w:type="dxa"/>
          <w:left w:w="0" w:type="dxa"/>
          <w:bottom w:w="0" w:type="dxa"/>
          <w:right w:w="0" w:type="dxa"/>
        </w:tblCellMar>
      </w:tblPr>
      <w:tblGrid>
        <w:gridCol w:w="38"/>
        <w:gridCol w:w="245"/>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This category consists of tax compliance, tax planning and tax advice.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Fees: This category consists of fees for permitted services other than the services reported in audit fees and tax fees.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shareholders do not ratify the appointment of SRCO, C.P.A., Professional Corporation as our independent registered public accounting firm, the Audit committee will reconsider its appointment.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to ratify the appointment of independent registered public accounting firm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passed is as follows: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that the appointment of SRCO, C.P.A., Professional Corporation as the independent registered public accounting firm of the Company for the fiscal year ending December 31, 2026 be confirmed, ratified and approved in all respects.”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RATIFICATION OF THE APPOINTMENT OF SRCO, C.P.A., PROFESSIONAL CORPORATION AS OUR INDEPENDENT REGISTERED PUBLIC ACCOUNTING FIRM, AND PROXIES SOLICITED BY THE BOARD WILL BE VOTED IN FAVOR OF SUCH RATIFICATION UNLESS A SHAREHOLDER INDICATES OTHERWISE ON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a_011"/>
      <w:bookmarkEnd w:id="10"/>
      <w:r>
        <w:rPr>
          <w:rFonts w:ascii="Times New Roman;Times;Serif" w:hAnsi="Times New Roman;Times;Serif"/>
          <w:b/>
          <w:i w:val="false"/>
          <w:caps w:val="false"/>
          <w:smallCaps w:val="false"/>
          <w:sz w:val="20"/>
        </w:rPr>
        <w:t>PROPOSAL NO. 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allows the Board to submit a proposal to approve, by ordinary resolution, the adjournment of the annual general meeting to a later date or dates, if necessary, to permit further solicitation of proxies in the event, based on the tabulated votes, there are not sufficient votes at the time of the annual general meeting to approve the domestication proposal and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adjournment proposal is presented to the annual general meeting and is not approved by the shareholders, the Board may not be able to adjourn the annual general meeting to a later date in the event that based on the tabulated votes, there are not sufficient votes at the time of the annual general meeting to approve the domestication proposal and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adjournment proposal requires an ordinary resolution, being the affirmative vote of the holders of a majority of the votes cast by the Class A ordinary shares, represented in person or by proxy and entitled to vote thereon and who vote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is not conditioned upon any other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as an ordinary resolution, that the adjournment of the annual general meeting to a later date or dates, if necessary or appropriate, to permit further solicitation and vote of proxies in the event that it is determined by Etoiles Capital that more time is necessary or appropriate to approve one or more proposals at the Annual meeting be approved and adopted in all respects.”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SHAREHOLDERS VOTE “FOR” THE APPROVAL OF THE ADJOURNMENT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of the directors might be deemed to have potential interests in and arising from the domestication that are different from or in addition to the interests of Etoiles Capital and its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1" w:name="a_012"/>
      <w:bookmarkEnd w:id="11"/>
      <w:r>
        <w:rPr>
          <w:rFonts w:ascii="Times New Roman;Times;Serif" w:hAnsi="Times New Roman;Times;Serif"/>
          <w:b/>
          <w:i w:val="false"/>
          <w:caps w:val="false"/>
          <w:smallCaps w:val="false"/>
          <w:sz w:val="20"/>
        </w:rPr>
        <w:t>COMPARISON OF CORPORATE GOVERNANCE AND SHAREHOLDER RIGHTS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is an exempted company incorporated under the Cayman Islands Companies Act. The Cayman Islands Companies Act and the Existing Organizational Documents govern the rights of its shareholders. The Cayman Islands Companies Act differs in some material respects from laws generally applicable to Nevada corporations and their stockholders. In addition, the Existing Organizational Documents will differ in certain material respects from the Proposed Organizational Documents of Etoiles Capital Nevada. As a result, when you become a stockholder of Etoiles Capital Nevada, your rights will differ in some regards as compared to when you were a shareholder of Etoiles Capital before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chart outlining important similarities and differences in the corporate governance and shareholder rights associated with each of Etoiles Capital and Etoiles Capital Nevada according to applicable law and/or the Existing Organizational Documents of Etoiles Capital and Proposed Organizational Documents Etoiles Capital Nevada. You also should review the Existing Organizational Documents of Etoiles Capital and the Proposed Organizational Documents of Etoiles Capital Nevada attached hereto as Annexes A, B and C to this proxy statement/prospectus, as well as the NRS and corporate laws of the Cayman Islands, including the Cayman Islands Companies Act, to understand how these laws apply to Etoiles Capital and Etoiles Capital Nevada.</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3"/>
        <w:gridCol w:w="140"/>
        <w:gridCol w:w="4231"/>
        <w:gridCol w:w="140"/>
        <w:gridCol w:w="4331"/>
      </w:tblGrid>
      <w:tr>
        <w:trPr/>
        <w:tc>
          <w:tcPr>
            <w:tcW w:w="1363"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42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center"/>
              <w:rPr/>
            </w:pPr>
            <w:r>
              <w:rPr/>
              <w:t> </w:t>
            </w:r>
          </w:p>
        </w:tc>
        <w:tc>
          <w:tcPr>
            <w:tcW w:w="43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Approval of Business Combinations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rFonts w:ascii="Times New Roman;Times;Serif" w:hAnsi="Times New Roman;Times;Serif"/>
              </w:rPr>
              <w:t>Mergers require a Special Resolution (as defined in the Cayman Islands Companies Act), and any other authorization as may be specified in the relevant articles of association. Parties holding certain security interests in the constituent companies must also consent.</w:t>
            </w:r>
            <w:r>
              <w:rPr/>
              <w:t xml:space="preserve">   </w:t>
            </w:r>
            <w:r>
              <w:rPr>
                <w:rFonts w:ascii="Times New Roman;Times;Serif" w:hAnsi="Times New Roman;Times;Serif"/>
              </w:rPr>
              <w:t>All mergers (other than parent/subsidiary mergers) require shareholder approval - there is no exception for smaller mergers.</w:t>
            </w:r>
            <w:r>
              <w:rPr/>
              <w:t xml:space="preserve">   </w:t>
            </w:r>
            <w:r>
              <w:rPr>
                <w:rFonts w:ascii="Times New Roman;Times;Serif" w:hAnsi="Times New Roman;Times;Serif"/>
              </w:rPr>
              <w:t>Where a bidder has acquired 90% or more of the shares in a Cayman Islands company, it can compel the acquisition of the shares of the remaining shareholders and thereby become the sole shareholder.</w:t>
            </w:r>
            <w:r>
              <w:rPr/>
              <w:t xml:space="preserve">   </w:t>
            </w:r>
            <w:r>
              <w:rPr>
                <w:rFonts w:ascii="Times New Roman;Times;Serif" w:hAnsi="Times New Roman;Times;Serif"/>
              </w:rPr>
              <w:t>A Cayman Islands company may also be acquired through a “scheme of arrangement” sanctioned by a Cayman Islands court and approved by 50%+1 in number and 75% in value of shareholders in attendance and voting at a shareholders’ meeting.</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pPr>
            <w:r>
              <w:rPr>
                <w:rFonts w:ascii="Times New Roman;Times;Serif" w:hAnsi="Times New Roman;Times;Serif"/>
              </w:rPr>
              <w:t>Under the NRS, subject to certain exceptions, mergers generally require approval of the board of directors and the approval of the holders of a majority of the total voting power of the outstanding shares of capital stock entitled to vote thereon of each constituent corporation.</w:t>
            </w:r>
            <w:r>
              <w:rPr/>
              <w:t xml:space="preserve">   </w:t>
            </w:r>
            <w:r>
              <w:rPr>
                <w:rFonts w:ascii="Times New Roman;Times;Serif" w:hAnsi="Times New Roman;Times;Serif"/>
              </w:rPr>
              <w:t>Under the NRS, in certain circumstances and subject to certain exceptions, mergers in which less than 20% of the acquiror’s common stock (as of immediately prior to the effective date of the merger) is issued, and where the acquiror is a constituent corporation surviving the merger, generally do not require acquirer stockholder approval.</w:t>
            </w:r>
            <w:r>
              <w:rPr/>
              <w:t xml:space="preserve">   </w:t>
            </w:r>
            <w:r>
              <w:rPr>
                <w:rFonts w:ascii="Times New Roman;Times;Serif" w:hAnsi="Times New Roman;Times;Serif"/>
              </w:rPr>
              <w:t>Under the NRS, subject to certain exceptions, mergers in which one corporation owns 90% or more of the outstanding shares of each class of stock of a second corporation may be completed without the approval of the second corporation’s board of directors or stockholders.</w:t>
            </w:r>
          </w:p>
        </w:tc>
      </w:tr>
      <w:tr>
        <w:trPr/>
        <w:tc>
          <w:tcPr>
            <w:tcW w:w="13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pPr>
            <w:r>
              <w:rPr/>
              <w:t> </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Votes for Routine Matters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Under the Cayman Islands Companies Act and the Existing Organizational Documents, routine corporate matters may be approved by the board of directors, unless shareholder approval is required. Unless the Cayman Islands Companies Act or the Existing Organizational Documents expressly provide for a Special Resolution, decisions of the shareholders may be </w:t>
            </w:r>
            <w:r>
              <w:rPr>
                <w:rFonts w:ascii="Times New Roman;Times;Serif" w:hAnsi="Times New Roman;Times;Serif"/>
                <w:sz w:val="20"/>
              </w:rPr>
              <w:t>approved by an ordinary resolution (being a resolution passed by a simple majority of the shareholders who are entitled to vote and who vote at a general meeting, or by unanimous written resolution).</w:t>
            </w:r>
          </w:p>
        </w:tc>
        <w:tc>
          <w:tcPr>
            <w:tcW w:w="140" w:type="dxa"/>
            <w:tcBorders/>
            <w:vAlign w:val="center"/>
          </w:tcPr>
          <w:p>
            <w:pPr>
              <w:pStyle w:val="TableContents"/>
              <w:bidi w:val="0"/>
              <w:spacing w:before="0" w:after="283"/>
              <w:jc w:val="both"/>
              <w:rPr/>
            </w:pPr>
            <w:r>
              <w:rPr/>
              <w:t> </w:t>
            </w:r>
          </w:p>
        </w:tc>
        <w:tc>
          <w:tcPr>
            <w:tcW w:w="4331" w:type="dxa"/>
            <w:tcBorders/>
            <w:vAlign w:val="center"/>
          </w:tcPr>
          <w:p>
            <w:pPr>
              <w:pStyle w:val="TableContents"/>
              <w:bidi w:val="0"/>
              <w:spacing w:before="0" w:after="283"/>
              <w:jc w:val="both"/>
              <w:rPr/>
            </w:pPr>
            <w:r>
              <w:rPr/>
              <w:t>Under the NRS, matters other than the election of directors require the affirmative vote of a majority of the shares present in person or represented by proxy at the meeting and entitled to vote on the subject matter (subject to certain exceptions under the NRS).</w:t>
            </w:r>
          </w:p>
        </w:tc>
      </w:tr>
      <w:tr>
        <w:trPr/>
        <w:tc>
          <w:tcPr>
            <w:tcW w:w="13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4331" w:type="dxa"/>
            <w:tcBorders/>
            <w:vAlign w:val="center"/>
          </w:tcPr>
          <w:p>
            <w:pPr>
              <w:pStyle w:val="TableContents"/>
              <w:bidi w:val="0"/>
              <w:spacing w:before="0" w:after="283"/>
              <w:jc w:val="both"/>
              <w:rPr/>
            </w:pPr>
            <w:r>
              <w:rPr/>
              <w:t> </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Election of Directors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are appointed by an ordinary resolution (being a resolution passed by a simple majority of the shareholders who are entitled to vote and who vote). Directors may also be appointed by the Board, whether to fill a casual vacancy or as an addition to the existing Board.</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are elected by a plurality of voting power of the outstanding shares present in person or represented by proxy and entitled to vote on the election of directors.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9"/>
        <w:gridCol w:w="140"/>
        <w:gridCol w:w="1753"/>
        <w:gridCol w:w="140"/>
        <w:gridCol w:w="7273"/>
      </w:tblGrid>
      <w:tr>
        <w:trPr/>
        <w:tc>
          <w:tcPr>
            <w:tcW w:w="899"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75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center"/>
              <w:rPr/>
            </w:pPr>
            <w:r>
              <w:rPr/>
              <w:t> </w:t>
            </w:r>
          </w:p>
        </w:tc>
        <w:tc>
          <w:tcPr>
            <w:tcW w:w="727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Removal of Directors</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or all of the directors may be removed by an Ordinary Resolution (being the affirmative vote of the holders of a simple majority of the votes cast by the Class A ordinary shares, represented in person or by proxy, entitled to vote at a general meeting and who vote at the general meeting, or by a written resolution of the requisite majority). No cause is required.</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the NRS, directors may be removed with or without cause by the affirmative vote of the holders of at least 66 2/3% of the total voting power of the outstanding shares of capital stock entitled to vote generally in the election of directors.</w:t>
            </w:r>
          </w:p>
        </w:tc>
      </w:tr>
      <w:tr>
        <w:trPr/>
        <w:tc>
          <w:tcPr>
            <w:tcW w:w="899"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pPr>
            <w:r>
              <w:rPr/>
              <w:t> </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Appraisal Rights</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Minority shareholders that dissent from a merger are entitled to be paid the fair market value of their shares, which if necessary may ultimately be determined by the court.</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Under the NRS, a holder of shares of any class or series of stock of a corporation that is listed on a national securities exchange or held of record by more than 2,000 holders and a market value of at least $20,000,000 generally does not have appraisal rights in connection with a merger, consolidation, conversion, transfer, domestication or continuance, subject to certain exceptions. Such holders do, however, generally have appraisal rights in connection with a merger if they are required by the terms of a merger agreement (or by the terms of a resolution providing for conversion, transfer, domestication or continuance pursuant to the applicable provisions of the NRS) to accept for their shares anything except: (a) cash; or (b) shares or proprietary interest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(c) cash in lieu of fractional shares or fractional depository receipts described in (a) and (b) above; or (d) any combination of the cash, shares of stock, depository receipts, or cash in lieu of fractional shares or fractional depository receipts described in (a), (b) and (c) above. Where appraisal rights are available, a stockholder who has neither voted in favor of such merger, consolidation, conversion, transfer, domestication or continuance, nor consented thereto in writing, who has properly demanded appraisal of their shares, and who otherwise complies with the requirements for perfecting and preserving their appraisal rights under Title 92A of the NRS may be entitled to receive payment in cash for the fair value of their shares (exclusive of any element of value arising from the accomplishment or expectation of such merger, consolidation, conversion, transfer, domestication or continuance), together with interest (if any) to be paid on the amount determined to be fair value of such shares, as appraised by the Nevada District Court in an appraisal proceeding. Appraisal rights are also available under the NRS in certain other circumstances, including in certain parent-subsidiary mergers and in certain circumstances where the certificate of incorporation so provides. </w:t>
            </w:r>
          </w:p>
        </w:tc>
      </w:tr>
    </w:tbl>
    <w:p>
      <w:pPr>
        <w:pStyle w:val="TextBody"/>
        <w:bidi w:val="0"/>
        <w:spacing w:before="0" w:after="283"/>
        <w:jc w:val="left"/>
        <w:rPr/>
      </w:pPr>
      <w:r>
        <w:rPr/>
        <w:t> </w:t>
      </w:r>
    </w:p>
    <w:p>
      <w:pPr>
        <w:pStyle w:val="TextBody"/>
        <w:bidi w:val="0"/>
        <w:spacing w:before="0" w:after="0"/>
        <w:ind w:left="0" w:right="0" w:hanging="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1"/>
        <w:gridCol w:w="140"/>
        <w:gridCol w:w="2121"/>
        <w:gridCol w:w="140"/>
        <w:gridCol w:w="6713"/>
      </w:tblGrid>
      <w:tr>
        <w:trPr/>
        <w:tc>
          <w:tcPr>
            <w:tcW w:w="109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12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671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09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Inspection of Books and Records</w:t>
            </w:r>
          </w:p>
        </w:tc>
        <w:tc>
          <w:tcPr>
            <w:tcW w:w="14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generally do not have any rights to inspect or obtain copies of the register of shareholders or other corporate records of a company.</w:t>
            </w:r>
          </w:p>
        </w:tc>
        <w:tc>
          <w:tcPr>
            <w:tcW w:w="14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78.105 provides that a stockholder or authorized representative of stockholders of record for at least six months holding at least 5% of the outstanding shares of a Nevada corporation may inspect the charter documents and stockholder ledger of the corporation upon five days’ written demand. The demand for inspection must include an affidavit stating that the inspection is not for any purpose other than the business of the corporation and that the person seeking the inspection has not directly or indirectly sold or offered to sale any list of the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 NRS provides that any stockholder or authorized representative of a group of stockholders holding at least 15% of the outstanding capital stock of a corporation has the right, upon written demand under oath (and otherwise satisfying the requirements of NRS Section 78.257), either in person or by attorney or other agent, to inspect and make copies and extracts from the corporation’s books of account and financial records for a proper purpose during the usual hours for business. A person exercising the rights of inspection must furnish an affidavit to the corporation stating that the inspection is not desired for any purpose not related to such person’s interest as a stockholder.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1"/>
        <w:gridCol w:w="140"/>
        <w:gridCol w:w="2649"/>
        <w:gridCol w:w="140"/>
        <w:gridCol w:w="5825"/>
      </w:tblGrid>
      <w:tr>
        <w:trPr/>
        <w:tc>
          <w:tcPr>
            <w:tcW w:w="145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4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58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Lawsuits</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Cayman Islands, the decision to institute proceedings on behalf of a company is generally taken by the company’s board of directors. A shareholder may be entitled to bring a derivative action on behalf of the company, but only in certain limited circumstances (e.g. where a company acts or proposes to act illegally or ultra vires (beyond the scope of its authority); the act complained of, although not ultra vires, could be effected if duly authorized by a special resolution that has not been obtained; and those who control the company are perpetrating a “fraud on the minority”).</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both"/>
              <w:rPr/>
            </w:pPr>
            <w:r>
              <w:rPr/>
              <w:t>A stockholder may bring a derivative suit or action asserting a claim of breach of fiduciary duty of any director or officer, subject to procedural requirements and other requirements of Nevada law. Pursuant to the Proposed Bylaws, the state and federal courts in the State of Nevada, as applicable, will be the exclusive forum for certain stockholder litigation (as more fully set forth in the Proposed Charter).</w:t>
            </w:r>
          </w:p>
        </w:tc>
      </w:tr>
      <w:tr>
        <w:trPr/>
        <w:tc>
          <w:tcPr>
            <w:tcW w:w="145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Fiduciary Duties of Directors</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owes fiduciary duties to a company, including to exercise loyalty, honesty and good faith to the company as a whole.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fiduciary duties, directors owe a duty of care, diligence and skill. Such duties are owed to the company but may be owed direct to creditors or shareholders in certain limited circumstances.</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both"/>
              <w:rPr/>
            </w:pPr>
            <w:r>
              <w:rPr/>
              <w:t>Generally, the standards of conduct for directors are governed by Nevada statutes. NRS 78.138(3) generally codifies the “business judgement rule” and provides that directors and officers are presumed to act in good faith, on an informed basis and with a view to the interests of the corporation. NRS 78.138(7) generally provides that a director or officer is not individually liable to the corporation or its stockholders or creditors for any damages as a result of any act or failure to act in his or her capacity as a director or officer unless (a) the presumption established by NRS 78.138(3) is rebutted and it is proven that (i) the director’s or officer’s act or failure to act constituted a breach of fiduciary duties as a director or officer; and (ii) such breach involved intentional misconduct, fraud, or a knowing violation of law. Nevada does not recognize the so called “entire fairness doctrine” and that the “business judgment rule” applies to all claims against officers and directors with no exception for Members of the board of directors or any committee designated by the board of directors are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w:t>
            </w:r>
          </w:p>
        </w:tc>
      </w:tr>
      <w:tr>
        <w:trPr/>
        <w:tc>
          <w:tcPr>
            <w:tcW w:w="145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left"/>
              <w:rPr/>
            </w:pPr>
            <w:r>
              <w:rPr/>
              <w:t> </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of Directors and Officers</w:t>
            </w:r>
          </w:p>
        </w:tc>
        <w:tc>
          <w:tcPr>
            <w:tcW w:w="140"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Etoiles Capital will indemnify its directors and officers, including its former directors and officers, except in respect of any matter arising out of their own dishonesty.</w:t>
            </w:r>
          </w:p>
        </w:tc>
        <w:tc>
          <w:tcPr>
            <w:tcW w:w="14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283"/>
              <w:jc w:val="both"/>
              <w:rPr/>
            </w:pPr>
            <w:r>
              <w:rPr/>
              <w:t xml:space="preserve">To the fullest extent permitted by applicable law, Etoiles Capital Nevada will provide indemnification of (and advancement of expenses to) its directors and officers (subject to certain exceptions, as more fully set forth in the Proposed Organizational Documents). See also “Anti-Takeover Effects of Provisions of the Proposed Charter and the Proposed Bylaws – </w:t>
            </w:r>
            <w:r>
              <w:rPr>
                <w:i/>
              </w:rPr>
              <w:t>Indemnification</w:t>
            </w:r>
            <w:r>
              <w:rPr/>
              <w:t>” below.</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2"/>
        <w:gridCol w:w="140"/>
        <w:gridCol w:w="4872"/>
        <w:gridCol w:w="140"/>
        <w:gridCol w:w="3681"/>
      </w:tblGrid>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368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Limited Liability of Directors</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Liability of directors may be limited by the articles of association of a company, except with regard to their actual fraud or willful default.</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permitted by applicable law, no director or officer of Etoiles Capital Nevada will be personally liable to Etoiles Capital Nevada or its stockholders for monetary damages for any breach of fiduciary duty as a director or officer, except to the extent such exemption from liability or limitation thereof is not permitted under the NRS, particularly NRS 78.138(7). See also, “Anti-Takeover Effects of Provisions of the Proposed Charter and the Proposed Bylaws –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below.</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Annual Meeting</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Etoiles Capital is not obliged to hold an annual general meeting of shareholders in any year unless required to do so by the rules of the designated stock exchange on which its shares are listed.</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t>The Proposed Bylaws provide that a meeting of stockholders for the election of directors and other business will be held annually.</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Meeting</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call a general meeting at any time. In addition, one or more members holding at least 10% of the rights to vote at a general meeting may requisition the Directors to call an extraordinary general meeting, and if the Directors fail to call the meeting within 21 clear days of receipt of the requisition, the requisitionists may themselves call the meeting.</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t>Special meetings of the stockholders may be called only by or at the direction of the chairman of the board of directors, the chief executive officer, the president, or at the direction of the Board pursuant to a written resolution adopted by a majority of the Board.</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 Proposals (Other than Nomination of Persons for Election as Directors)</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Shareholders seeking to bring business before the annual general meeting or to nominate candidates for appointment as directors at the annual general meeting must deliver notice to the principal executive offices not less than 120 calendar days before the date of the proxy statement were released in connection with the previous year’s annual general meeting or, if Etoiles Capital did not hold an annual general meeting the previous year, or if the date of the current year’s annual general meeting has been changed by more than 30 days from the date of the previous year’s annual general meeting, then the </w:t>
            </w:r>
            <w:r>
              <w:rPr>
                <w:rFonts w:ascii="Times New Roman;Times;Serif" w:hAnsi="Times New Roman;Times;Serif"/>
                <w:sz w:val="20"/>
              </w:rPr>
              <w:t>deadline shall be set by the board of directors with such deadline being a reasonable time before Etoiles Capital begins to print and send its related proxy materials.</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rFonts w:ascii="Times New Roman;Times;Serif" w:hAnsi="Times New Roman;Times;Serif"/>
              </w:rPr>
              <w:t>Nominations or other business to be properly brought before an annual meeting pursuant to the Proposed Bylaws by a stockholder require timely, advance notice in writing to the Secretary and, in the case of business other than nominations of directors, must be a proper matter for stockholder action.</w:t>
              <w:br/>
              <w:br/>
            </w:r>
            <w:r>
              <w:rPr/>
              <w:t>To be timely, notice must be delivered not less than 90 days nor more than one hundred twenty 120 days prior to the first anniversary of the preceding year’s annual meeting; provided, however, that in the event that the date of the annual meeting is scheduled for more than 30 days before or following, such anniversary date, notice must be delivered not later than the 10th day following the day on which public announcement of the date of such meeting was first made.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8"/>
        <w:gridCol w:w="140"/>
        <w:gridCol w:w="2528"/>
        <w:gridCol w:w="140"/>
        <w:gridCol w:w="5769"/>
      </w:tblGrid>
      <w:tr>
        <w:trPr/>
        <w:tc>
          <w:tcPr>
            <w:tcW w:w="162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576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62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Anti-Takeover Provisions and Other Stockholder Protections:</w:t>
            </w:r>
          </w:p>
        </w:tc>
        <w:tc>
          <w:tcPr>
            <w:tcW w:w="140"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does contain a comparable provision to Nevada Combinations with Interested Stockholders or the Acquisition of Controlling Interest provisions of the Nevada Statutes.</w:t>
            </w:r>
          </w:p>
        </w:tc>
        <w:tc>
          <w:tcPr>
            <w:tcW w:w="140" w:type="dxa"/>
            <w:tcBorders/>
            <w:vAlign w:val="center"/>
          </w:tcPr>
          <w:p>
            <w:pPr>
              <w:pStyle w:val="TableContents"/>
              <w:bidi w:val="0"/>
              <w:spacing w:before="0" w:after="283"/>
              <w:jc w:val="left"/>
              <w:rPr/>
            </w:pPr>
            <w:r>
              <w:rPr/>
              <w:t> </w:t>
            </w:r>
          </w:p>
        </w:tc>
        <w:tc>
          <w:tcPr>
            <w:tcW w:w="57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Combinations with Interested Stockholders provisions of the NRS (NRS 78.411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unless an election to opt out is made, prohibit a Nevada corporation from engaging in a “business combination” (as such term is defined in NRS 78.416) with an “interested stockholder” (as such term is defined in NRS 78.423) for a period of at least three years after such person or entity became an interested stockholder unless certain conditions are met. The Proposed Organizational Documents provide that Etoiles Capital Nevada elects to not be subject to Combinations with Interested Stockholder provisions.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of Controlling Interest provisions of the NRS (NRS 78.378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unless an election to opt out is made, restrict the voting of a “controlling interest” by an “acquiring person” as such term is defined in NRS 78.3783. A “controlling interest” is defined as acquisition of shares that allow the acquiring person to vote one-fifth or more but less than one-third, one-third but less than a majority, and a majority or more, of the outstanding voting power of the corporation, unless certain conditions are met. The Proposed Chater provides that Etoiles Capital Nevada elects to not be subject to the Acquisition of Controlling Interest provisions.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“Anti-Takeover Effects of Nevada Law” below.</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2" w:name="a_013"/>
      <w:bookmarkEnd w:id="12"/>
      <w:r>
        <w:rPr>
          <w:rFonts w:ascii="Times New Roman;Times;Serif" w:hAnsi="Times New Roman;Times;Serif"/>
          <w:b/>
          <w:i w:val="false"/>
          <w:caps w:val="false"/>
          <w:smallCaps w:val="false"/>
          <w:sz w:val="20"/>
        </w:rPr>
        <w:t>MANAGEMENT AND CORPORATE GOVERNANCE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business and affairs are organized under the direction of the Board. Mr. Cheung serves as the Chairperson of the Board. The primary responsibilities of the Board are to provide oversight, strategic guidance, counseling and direction to Etoiles Capital’s management. The Board meets on a regular basis and additionally as required.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Existing Organizational Documents, the Board may establish the authorized number of directors from time to time by resolution. The Board currently consists of four members with three-year terms. At each annual general meeting of shareholders, the successors to directors whose terms then expire will be elected to serve from the time of election and qualification until the third annual meeting following election. Etoiles Capital’s directors are Kit Shing, CHEUNG, Wesley CHU, Yeung Tak, CHEN and Nancy YANG, and their terms will expire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Board accepted the recommendation of the Nominating and Corporate Governance Committee of the Board (“Nominating Committee”) and voted to nominate Kit Shing, CHEUNG, Wesley CHU, Yeung Tak, CHEN and Nancy YANG for election at the annual general meeting for a term of three years to serve until the 2029 annual meeting of shareholders, and until their respective successors have been elected and qualified.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each of the directors is elected and the domestication proposal is approved, the members of the Board of Etoiles Capital Nevada will remain the same following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 2026. Additionally, information about the specific experience, qualifications, attributes or skills that led to the Board’s conclusion at the time of filing of this proxy statement/prospectus that each person listed below should serve as a director is set forth below:</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305" w:type="dxa"/>
        <w:jc w:val="left"/>
        <w:tblInd w:w="0" w:type="dxa"/>
        <w:tblLayout w:type="fixed"/>
        <w:tblCellMar>
          <w:top w:w="0" w:type="dxa"/>
          <w:left w:w="0" w:type="dxa"/>
          <w:bottom w:w="28" w:type="dxa"/>
          <w:right w:w="0" w:type="dxa"/>
        </w:tblCellMar>
      </w:tblPr>
      <w:tblGrid>
        <w:gridCol w:w="1700"/>
        <w:gridCol w:w="140"/>
        <w:gridCol w:w="350"/>
        <w:gridCol w:w="140"/>
        <w:gridCol w:w="597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140" w:type="dxa"/>
            <w:tcBorders/>
            <w:tcMar>
              <w:bottom w:w="0" w:type="dxa"/>
            </w:tcMar>
            <w:vAlign w:val="center"/>
          </w:tcPr>
          <w:p>
            <w:pPr>
              <w:pStyle w:val="TableContents"/>
              <w:bidi w:val="0"/>
              <w:spacing w:before="0" w:after="283"/>
              <w:jc w:val="left"/>
              <w:rPr/>
            </w:pPr>
            <w:r>
              <w:rPr/>
              <w:t> </w:t>
            </w:r>
          </w:p>
        </w:tc>
        <w:tc>
          <w:tcPr>
            <w:tcW w:w="59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Executive Officer, and Chairman of the Board of Directors</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CHU </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14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Yeung Tak, CHEN</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Nancy YANG</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14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Nominees for Election for a Three-Year Term Expiring at the Company’s 2029 Annual Meeting of Shareholders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Kit Shing, CHEUNG</w:t>
      </w:r>
      <w:r>
        <w:rPr>
          <w:rFonts w:ascii="Times New Roman;Times;Serif" w:hAnsi="Times New Roman;Times;Serif"/>
          <w:b w:val="false"/>
          <w:i w:val="false"/>
          <w:caps w:val="false"/>
          <w:smallCaps w:val="false"/>
          <w:sz w:val="20"/>
        </w:rPr>
        <w:t xml:space="preserve"> is a Director, Chief Executive Officer and Chair of the board of the Company. Mr. Cheung is responsible for the general corporate strategy, overall management of our operations and business expansion. Mr. Cheung has over 7 years of experience in business management. Mr. Cheung joined Etoiles Consultancy in September 2023 and has become our Chief Executive Officer since February 2025. Since 2021, Mr. Cheung has been a project manager and director of Everway Creation Limited. From 2016 to 2021, Mr. Cheung was a senior relation manager of Industrial Bank Co., Ltd. From August 2022 to June 2023, Mr. Cheung was an executive director of Future World Holdings Limited (HKEx: 00572), a company listed on the Stock Exchange of Hong Kong Limited. Mr. Cheung obtained a bachelor’s degree in science from the University of Toronto in 2015.</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Wesley CHU</w:t>
      </w:r>
      <w:r>
        <w:rPr>
          <w:rFonts w:ascii="Times New Roman;Times;Serif" w:hAnsi="Times New Roman;Times;Serif"/>
          <w:b w:val="false"/>
          <w:i w:val="false"/>
          <w:caps w:val="false"/>
          <w:smallCaps w:val="false"/>
          <w:sz w:val="20"/>
        </w:rPr>
        <w:t xml:space="preserve"> is an independent director of the Company. Mr. Chu has over ten years of experience in global supply chain management, logistics operations, and transportation strategy, with extensive expertise in managing complex international logistics networks for leading multinational technology companies. Since December 2022, Mr. Chu has been serving as a logistics execution manager at NVIDIA Corporation. From July 2018 to August 2022, Mr. Chu worked in Expeditors in San Francisco as a corporate account manager. From January 2015 to July 2018, Mr. Chu worked in Expeditors in Hong Kong as a local account manager. From January 2014 to January 2015, Mr. Chu worked in Expeditors in Hong Kong as agent of order management. Mr. Chu received a bachelor of global business systems management from City University of Hong Kong in 2013.</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Yeung Tak, CHEN</w:t>
      </w:r>
      <w:r>
        <w:rPr>
          <w:rFonts w:ascii="Times New Roman;Times;Serif" w:hAnsi="Times New Roman;Times;Serif"/>
          <w:b w:val="false"/>
          <w:i w:val="false"/>
          <w:caps w:val="false"/>
          <w:smallCaps w:val="false"/>
          <w:sz w:val="20"/>
        </w:rPr>
        <w:t xml:space="preserve"> is an independent director of the Company. Mr. Chen has over 15 years of experience in auditing, accounting, financial management, treasury, internal control, corporate governance, and company secretarial matters. He graduated from The Hong Kong Polytechnic University with a bachelor’s degree of arts in accountancy in December 2006. He has been a member of the Hong Kong Institute of Certified Public Accountants since January 2011 and was admitted as a fellow in September 2021. Mr. Chen is also a CPA (Practising) registered with the Accounting and Financial Reporting Council. From December 2017 to December 2021, he served as an independent non-executive director of AV Promotions Holdings Limited (HKEx: 8419), a company listed on the Stock Exchange of Hong Kong Limited. He is currently the company secretary of Kingland Group Holdings Limited (HKEx: 1751), a company listed on the Stock Exchange of Hong Kong Limited, and served as its executive director from May 2020 to June 2022. Mr. Chen also serves as an independent non-executive director of DT Capital Limited (HKEx: 356), WEIli Holdings Limited (HKEx: 2372), and Gain Plus Holdings Limited (HKEx: 9900), all of which being companies listed on the Stock Exchange of Hong Kong Limited. Additionally, he has been an independent director of Onion Global Limited, a company formerly listed on the New York Stock Exchange (NYSE: OG) and currently listed on the U.S. OTC Market (OTC: OGBLY) since March 2022.</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Nancy YANG</w:t>
      </w:r>
      <w:r>
        <w:rPr>
          <w:rFonts w:ascii="Times New Roman;Times;Serif" w:hAnsi="Times New Roman;Times;Serif"/>
          <w:b w:val="false"/>
          <w:i w:val="false"/>
          <w:caps w:val="false"/>
          <w:smallCaps w:val="false"/>
          <w:sz w:val="20"/>
        </w:rPr>
        <w:t xml:space="preserve"> is a director of the Company. Ms. Yang has over ten years of experience in the finance industry in the U.S. Since January 2018, Ms. Yang has been serving as director of finance at United States Veterans Initiative in Washington. From June 2016 to January 2018, Ms. Yang worked in Clover Integrations, Inc. as a business analyst. From December 2014 to June 2016, Ms. Yang worked in Commerzbank AG s a business analyst. From December 2013 to June 2014, Ms. Yang worked in Landesbank Baden-Wuerttemberg as a financial analyst. Ms. Yang received a bachelor of accounting and master of accounting from New York University in 2013. Ms. Yang is a U.S. citizen and resides in the U.S.</w:t>
      </w:r>
    </w:p>
    <w:p>
      <w:pPr>
        <w:pStyle w:val="TextBody"/>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director” is defined generally as a person who has no material relationship with the listed company (either directly or as a partner, shareholder or officer of an organization that has a relationship with the company). The Board has reviewed the materiality of any relationship that each of our directors has with Etoiles Capital Group Co., Ltd., either directly or indirectly. Based upon this review, the Board has determined that each of Wesley CHU, Yeung Tak, CHEN and Nancy YANG is an independent director under applicable SEC and the Nasdaq Stock Market LLC listing Nasdaq rules (the “Nasdaq Listing Rules”).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Etoiles Capital’s directors or executive officers.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and Prohibitions on Hedging and Pledging Company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and maintain an insider trading policy to promote compliance with applicable securities laws and regulations, including those that prohibit insider trading. This policy applies to all officers, directors, employees and consultants of our Company (each, an “Affiliate”) and extends to all activities within and outside an individual’s duties at our Company. The policy provides for trading blackouts and includes the procedures covered persons must follow before transacting in our securities including trading pre-clearance. A copy of the policy is filed as an exhibit to our Annual Report on Form 20-F for the year ended December 31, 2025.</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and Meetings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Meeting Attendance.</w:t>
      </w:r>
      <w:r>
        <w:rPr>
          <w:rFonts w:ascii="Times New Roman;Times;Serif" w:hAnsi="Times New Roman;Times;Serif"/>
          <w:b w:val="false"/>
          <w:i w:val="false"/>
          <w:caps w:val="false"/>
          <w:smallCaps w:val="false"/>
          <w:sz w:val="20"/>
        </w:rPr>
        <w:t> During the fiscal year ended December 31, 2025, there were two meetings of the Board, and the various committees of the Board met a total of two times. No director attended fewer than 75% of the total number of meetings of the Board and of committees of the Board on which he or she served during fiscal 2025. The Board has adopted a policy under which each member of the Board makes reasonable best efforts to attend each annual general meeting of our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met two times during fiscal 2025. This committee currently has three members, Yeung Tak, CHEN, who serves as the chairperson, Wesley CHU and Nancy YANG. Raj K, THAKAR, our former independent director, served on the Audit Committee until October 2025. Qi, DING, our former independent director, also served on the Audit Committee during fiscal year 2025 until her term of service ended in July 2026. Heung Ping WONG, our former independent director, also served on the Audit Committee from November 2025 until his term of service ended on August 1, 2026. Each member of the Audit Committee qualifies as an independent director under the Nasdaq Listing Rules and the independence requirements of Rule 10A-3 under the Exchange Act. The Board has determined that Yeung Tak, CHEN qualifies as an “audit committee financial expert” as such term is defined in Item 407(d)(5) of Regulation S-K and possesses financial sophistication, as defined under the rules of the Nasdaq. Please also see the report of the Audit Committee set forth elsewhere in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Committee’s role and responsibilities are set forth in the Audit Committee’s written charter, and its primary purpose is to discharge the responsibilities of the Board with respect to corporate accounting and financial reporting processes, systems of internal control and financial statement audits, and to oversee our independent registered public accounting firm. Specific responsibilities of the Audit Committee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bl>
    <w:p>
      <w:pPr>
        <w:pStyle w:val="TextBody"/>
        <w:bidi w:val="0"/>
        <w:spacing w:before="0" w:after="283"/>
        <w:jc w:val="left"/>
        <w:rPr/>
      </w:pPr>
      <w:r>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problems or difficulties and management’s response;</w:t>
            </w:r>
          </w:p>
        </w:tc>
      </w:tr>
    </w:tbl>
    <w:p>
      <w:pPr>
        <w:pStyle w:val="TextBody"/>
        <w:bidi w:val="0"/>
        <w:spacing w:before="0" w:after="283"/>
        <w:jc w:val="left"/>
        <w:rPr/>
      </w:pPr>
      <w:r>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283"/>
        <w:jc w:val="left"/>
        <w:rPr/>
      </w:pPr>
      <w:r>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related-party transactions;</w:t>
            </w:r>
          </w:p>
        </w:tc>
      </w:tr>
    </w:tbl>
    <w:p>
      <w:pPr>
        <w:pStyle w:val="TextBody"/>
        <w:bidi w:val="0"/>
        <w:spacing w:before="0" w:after="283"/>
        <w:jc w:val="left"/>
        <w:rPr/>
      </w:pPr>
      <w:r>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Audit Committee, which is available on our website at https://ir.etoilesgroup.com/corporate-governance/documents-charters under Governance—Documents &amp; Charters.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met one time during fiscal 2025. Our Compensation Committee consists of Wesley CHU, who serves as the chairperson, Yeung Tak, CHEN and Nancy YANG. Raj K, THAKAR, our former independent director, served on the Compensation Committee until October 2025. Qi, DING, our former independent director, also served on the Compensation Committee during fiscal year 2025 until her term of service ended in July 2026. Heung Ping WONG, our former independent director, also served on the Compensation Committee from November 2025 until his term of service ended on August 1, 2026. All members of the Compensation Committee qualify as independent under the definition promulgated by Nasdaq.</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compensation for our chief executive officer and other executive officers;</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for determination with respect to the compensation of our non-employee directors;</w:t>
            </w:r>
          </w:p>
        </w:tc>
      </w:tr>
    </w:tbl>
    <w:p>
      <w:pPr>
        <w:pStyle w:val="TextBody"/>
        <w:bidi w:val="0"/>
        <w:spacing w:before="0" w:after="283"/>
        <w:jc w:val="left"/>
        <w:rPr/>
      </w:pPr>
      <w:r>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incentive compensation or equity plans, programs, or similar arrangements;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reviews the performance of each named executive officer in light of the above factors and determines whether the named executive officer should receive any increase in base salary, annual bonus award or receive a discretionary equity award based on such evaluation.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Compensation Committee, which is available on our website at https://ir.etoilesgroup.com/corporate-governance/documents-charters under Governance—Documents &amp; Charters.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met one time during fiscal 2025 and has four members consisting of Nancy YANG, who serves as the chairperson, Wesley CHU and Yeung Tak, CHEN. Raj K, THAKAR, our former independent director, served on the Nominating Committee until October 2025. Qi, DING, our former independent director, also served on the Nominating Committee during fiscal year 2025 until her term of service ended in July 2026. Heung Ping WONG, our former independent director, also served on the Nominating Committee from November 2025 until his term of service ended on August 1, 2026. The Board has determined that all members of the Nominating Committee qualify as independent under the definition promulgated by Nasdaq.</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nominating and corporate governance committee is to assist the Board in discharging the responsibilities set forth in the Nominating Committee’s written charter and include: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recommending to the board nominees for election by the shareholders or appointment by the board;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the board the current composition of the board in regard to characteristics such as independence, knowledge, skills, experience, and diversity;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on the frequency and structure of board meetings and monitoring the functioning of the committees of the board;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in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nominating and corporate governance committee, which is available on our website at https://ir.etoilesgroup.com/corporate-governance/documents-charters under Governance—Documents &amp; Charters.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Nominating Committee considers candidates recommended by other directors or officers, third party search firms or other appropriate sources. Once identified, the Nominating Committee will evaluate a candidate’s qualifications in accordance with a range of criteria. These criteria include but not limited to: personal integrity and sound judgment, business and professional skills and experience, independence, knowledge of our industry, possible conflicts of interest, diversity, the extent to which the candidate would fill a present need on the Board, and concern for the long-term interests of our shareholders. Our Nominating Committee has not adopted a formal diversity policy in connection with the consideration of director nominations or the selection of nominees. However, the Nominating Committee will consider issues of diversity among its members in identifying and considering nominees for director, and strive where appropriate to achieve a diverse balance of backgrounds, perspectives, experience, age, gender, ethnicity and country of citizenship on the Board and its committees.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wishes to propose a candidate for consideration as a nominee for election to the Board, it must follow the procedures described in the Existing Organizational Documents and in “</w:t>
      </w:r>
      <w:r>
        <w:rPr>
          <w:rFonts w:ascii="Times New Roman;Times;Serif" w:hAnsi="Times New Roman;Times;Serif"/>
          <w:b w:val="false"/>
          <w:i/>
          <w:caps w:val="false"/>
          <w:smallCaps w:val="false"/>
          <w:sz w:val="20"/>
        </w:rPr>
        <w:t>Stockholder Nominations and Proposals</w:t>
      </w:r>
      <w:r>
        <w:rPr>
          <w:rFonts w:ascii="Times New Roman;Times;Serif" w:hAnsi="Times New Roman;Times;Serif"/>
          <w:b w:val="false"/>
          <w:i w:val="false"/>
          <w:caps w:val="false"/>
          <w:smallCaps w:val="false"/>
          <w:sz w:val="20"/>
        </w:rPr>
        <w:t>” at the end of this proxy statement/prospectus. In general, persons recommended by shareholders may be considered. Any such recommendation should be made in writing to the Nominating Committee, care of our Corporate Secretary at our principal office and should be accompanied by the following information concerning each recommending shareholder and the beneficial owner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if any, on whose behalf the nomination is made: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information relating to such person that would be required to be disclosed in a proxy statement/prospectus;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biographical and share ownership information about the shareholder and any other proponent, including a description of any derivative transactions in the Company’s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certain arrangements and understandings between the proposing shareholder and any beneficial owner and any other person in connection with such shareholder nomination;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whether or not either such shareholder or beneficial owner intends to deliver a proxy statement/prospectus and form of proxy to holders of voting shares sufficient to carry the proposal.</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recommendation must also be accompanied by the following information concerning the proposed nominee: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biographical information concerning the proposed nominee;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information concerning the proposed nominee required to be disclosed in solicitations of proxies for election of directors;</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information about any other security holder of the Company who supports the proposed nominee;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all relationships between the proposed nominee and the recommending shareholder or any beneficial owner, including any agreements or understandings regarding the nomination;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disclosures relating to shareholder nominees for directors, including completed questionnaires and disclosures required by the Existing Organizational Documents.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to oversee Etoiles Capital’s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pStyle w:val="TextBody"/>
        <w:shd w:fill="FFFFFF" w:val="clear"/>
        <w:bidi w:val="0"/>
        <w:spacing w:before="0" w:after="0"/>
        <w:ind w:left="0" w:right="0" w:firstLine="45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Currently, one individual serves in the positions of Chief Executive Officer and Chairman of the Board. We believe that our current leadership structure is optimal for the Company at this time.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independent members and one non-independent director, who is our Chief Executive Officer and the Chairman of the board. We believe that the number of independent, experienced directors that make up the Board, along with the oversight of the Board by the Non-Executive Chairman, benefits our company and our shareholders. All of our independent directors have demonstrated leadership in other organizations and are familiar with board of director processes.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to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shareholders who have questions or concerns should contact our Investor Relations team at +852-2398-8699. However, any shareholders who wish to address questions regarding our business directly with the Board, or any individual director, should direct his or her questions in writing to the Chairman of the Board at Unit 03-04, 25/F, Cosco Tower, 183 Queen’s Road Central, Sheung Wan, Hong Kong / to individual Board members via e-mail at ir@etoilesfin.com / using the “Resources – Contact Us” page of our website at https://ir.etoilesgroup.com/.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will be distributed to the Board, or to any individual director or directors as appropriate, depending on the facts and circumstances outlined in the communications. Items that are unrelated to the duties and responsibilities of the Board may be excluded, such as: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junk mail and mass mailings;</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resumes and other forms of job inquiries;</w:t>
            </w:r>
          </w:p>
        </w:tc>
      </w:tr>
    </w:tbl>
    <w:p>
      <w:pPr>
        <w:pStyle w:val="TextBody"/>
        <w:bidi w:val="0"/>
        <w:spacing w:before="0" w:after="283"/>
        <w:jc w:val="left"/>
        <w:rPr/>
      </w:pPr>
      <w:r>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surveys; and</w:t>
            </w:r>
          </w:p>
        </w:tc>
      </w:tr>
    </w:tbl>
    <w:p>
      <w:pPr>
        <w:pStyle w:val="TextBody"/>
        <w:bidi w:val="0"/>
        <w:spacing w:before="0" w:after="283"/>
        <w:jc w:val="left"/>
        <w:rPr/>
      </w:pPr>
      <w:r>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solicitations or advertisements.</w:t>
            </w:r>
          </w:p>
        </w:tc>
      </w:tr>
    </w:tbl>
    <w:p>
      <w:pPr>
        <w:pStyle w:val="TextBody"/>
        <w:shd w:fill="FFFFFF" w:val="clear"/>
        <w:bidi w:val="0"/>
        <w:spacing w:before="0" w:after="0"/>
        <w:ind w:left="0" w:right="0" w:firstLine="400"/>
        <w:jc w:val="both"/>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material that is unduly hostile, threatening, or illegal in nature may be excluded, in which case it will be made available to any outside director upon request.</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the date of this registration statement regarding our executive officers who are not also directors. We have employment agreements with all of our executive officers.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1205"/>
        <w:gridCol w:w="140"/>
        <w:gridCol w:w="350"/>
        <w:gridCol w:w="140"/>
        <w:gridCol w:w="1940"/>
      </w:tblGrid>
      <w:tr>
        <w:trPr/>
        <w:tc>
          <w:tcPr>
            <w:tcW w:w="12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140" w:type="dxa"/>
            <w:tcBorders/>
            <w:tcMar>
              <w:bottom w:w="0" w:type="dxa"/>
            </w:tcMar>
            <w:vAlign w:val="center"/>
          </w:tcPr>
          <w:p>
            <w:pPr>
              <w:pStyle w:val="TableContents"/>
              <w:bidi w:val="0"/>
              <w:spacing w:before="0" w:after="283"/>
              <w:jc w:val="left"/>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 Fai, TAM</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Zhihan, LOU</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14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 Fai, TAM</w:t>
      </w:r>
      <w:r>
        <w:rPr>
          <w:rFonts w:ascii="Times New Roman;Times;Serif" w:hAnsi="Times New Roman;Times;Serif"/>
          <w:b w:val="false"/>
          <w:i w:val="false"/>
          <w:caps w:val="false"/>
          <w:smallCaps w:val="false"/>
          <w:sz w:val="20"/>
        </w:rPr>
        <w:t xml:space="preserve"> is the Chief Financial Officer of the Company. Mr. Tam has over 18 years of experience in the accounting, financing and auditing industry. Mr. Tam has become our Chief Financial Officer since February 2025. Since April 2023, Mr. Tam has been a company secretary of WK Group (Holdings) Limited (HKEx: 02535), a company listed on the Stock Exchange of Hong Kong Limited. Since June 2020, Mr. Tam has been a director of Marksman Services Group Limited. Since October 2020, Mr. Tam has been a director of IPA CPA Limited. From December 2020 to February 2022, Mr. Tam was a company secretary of Sino Vision Worldwide Holdings Limited, a company formerly listed on the Stock Exchange of Hong Kong. From August 2019 to September 2024, Mr. Tam was an independent non-executive director of China Next-Gen Commerce and Supply Chain Limited (HKEx: 03928), a company listed on the Stock Exchange of Hong Kong Limited. From January 2012 to November 2022, Mr. Tam was an audit partner of CTY &amp; Co., a CPA firm. From September 2006 to August 2011, Mr. Tam worked in the audit department of Deloitte Touche Tohmatsu. Mr. Tam obtained a bachelor’s degree of business administration in accounting from the Hong Kong University of Science and Technology in 2006. Mr. Tam has been a member of the Hong Kong Institute of Certified Public Accountants since January 2010 and is currently a fellow member of the Hong Kong Institute of Certified Public Accountants.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Zhihan, LOU</w:t>
      </w:r>
      <w:r>
        <w:rPr>
          <w:rFonts w:ascii="Times New Roman;Times;Serif" w:hAnsi="Times New Roman;Times;Serif"/>
          <w:b w:val="false"/>
          <w:i w:val="false"/>
          <w:caps w:val="false"/>
          <w:smallCaps w:val="false"/>
          <w:sz w:val="20"/>
        </w:rPr>
        <w:t xml:space="preserve"> is the Chief Operating Officer of the Company. Mr. Lou has over 5 years of experience in public relations, investor relations and communications industry. Mr. Lou has become our Chief Operating Officer since February 2025. Since February 2024, Mr. Lou has been the general manager of Etoiles Financial. From October 2023 to February 2024, Mr. Lou served as a consultant of Valuable Capital Limited, a company engaged in strategic consulting. From November 2019 to October 2023, Mr. Lou served as a deputy director of Wonderful Sky Financial Group Limited, a company engaged in initial public offering consultation and financial public relation. Mr. Lou obtained a masters of arts degree in communication from the Hong Kong Baptist University and a bachelor’s degree of broadcasting from the Zhejiang University of Technology in 2017 and 2016, respectively.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a_014"/>
      <w:bookmarkEnd w:id="13"/>
      <w:r>
        <w:rPr>
          <w:rFonts w:ascii="Times New Roman;Times;Serif" w:hAnsi="Times New Roman;Times;Serif"/>
          <w:b/>
          <w:i w:val="false"/>
          <w:caps w:val="false"/>
          <w:smallCaps w:val="false"/>
          <w:sz w:val="20"/>
        </w:rPr>
        <w:t>EXECUTIVE COMPENSATION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discusses the material components of the executive compensation program for our named executive officers (the “NEOs”) who are identified in the Summary Compensation Table below. This discussion may contain forward-looking statements that are based on our current plans, considerations, expectations and determinations regarding future compensation programs.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Etoiles Capital’s NEOs were:</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Kit Shing, CHEUNG, Chief Executive Officer;</w:t>
            </w:r>
          </w:p>
        </w:tc>
      </w:tr>
    </w:tbl>
    <w:p>
      <w:pPr>
        <w:pStyle w:val="TextBody"/>
        <w:bidi w:val="0"/>
        <w:spacing w:before="0" w:after="283"/>
        <w:jc w:val="left"/>
        <w:rPr/>
      </w:pPr>
      <w:r>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 Fai, TAM, Chief Financial Officer; and</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Zhihan, LOU, Chief Operating Officer. </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compensation for the years ended December 31, 2025 and 2024 earned by, awarded to or paid to our NEOs.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35"/>
        <w:gridCol w:w="60"/>
        <w:gridCol w:w="530"/>
        <w:gridCol w:w="60"/>
        <w:gridCol w:w="60"/>
        <w:gridCol w:w="60"/>
        <w:gridCol w:w="800"/>
        <w:gridCol w:w="60"/>
        <w:gridCol w:w="60"/>
        <w:gridCol w:w="102"/>
        <w:gridCol w:w="443"/>
        <w:gridCol w:w="60"/>
        <w:gridCol w:w="60"/>
        <w:gridCol w:w="124"/>
        <w:gridCol w:w="541"/>
        <w:gridCol w:w="60"/>
        <w:gridCol w:w="60"/>
        <w:gridCol w:w="124"/>
        <w:gridCol w:w="541"/>
        <w:gridCol w:w="60"/>
        <w:gridCol w:w="60"/>
        <w:gridCol w:w="231"/>
        <w:gridCol w:w="1004"/>
        <w:gridCol w:w="60"/>
        <w:gridCol w:w="60"/>
        <w:gridCol w:w="231"/>
        <w:gridCol w:w="1004"/>
        <w:gridCol w:w="60"/>
        <w:gridCol w:w="60"/>
        <w:gridCol w:w="60"/>
        <w:gridCol w:w="800"/>
        <w:gridCol w:w="75"/>
      </w:tblGrid>
      <w:tr>
        <w:trPr/>
        <w:tc>
          <w:tcPr>
            <w:tcW w:w="263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Principal Position(s)</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Kit Shing, CHEUNG </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153,933</w:t>
            </w:r>
          </w:p>
          <w:p>
            <w:pPr>
              <w:pStyle w:val="TableContents"/>
              <w:bidi w:val="0"/>
              <w:spacing w:before="0" w:after="283"/>
              <w:jc w:val="right"/>
              <w:rPr>
                <w:rFonts w:ascii="Times New Roman;Times;Serif" w:hAnsi="Times New Roman;Times;Serif"/>
              </w:rPr>
            </w:pPr>
            <w:r>
              <w:rPr>
                <w:rFonts w:ascii="Times New Roman;Times;Serif" w:hAnsi="Times New Roman;Times;Serif"/>
              </w:rPr>
              <w:t>158,497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153,933</w:t>
            </w:r>
          </w:p>
          <w:p>
            <w:pPr>
              <w:pStyle w:val="TableContents"/>
              <w:bidi w:val="0"/>
              <w:spacing w:before="0" w:after="283"/>
              <w:jc w:val="right"/>
              <w:rPr>
                <w:rFonts w:ascii="Times New Roman;Times;Serif" w:hAnsi="Times New Roman;Times;Serif"/>
              </w:rPr>
            </w:pPr>
            <w:r>
              <w:rPr>
                <w:rFonts w:ascii="Times New Roman;Times;Serif" w:hAnsi="Times New Roman;Times;Serif"/>
              </w:rPr>
              <w:t>158,497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 Fai, TAM</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Zhihan, LOU </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72,862</w:t>
            </w:r>
          </w:p>
          <w:p>
            <w:pPr>
              <w:pStyle w:val="TableContents"/>
              <w:bidi w:val="0"/>
              <w:spacing w:before="0" w:after="283"/>
              <w:jc w:val="right"/>
              <w:rPr>
                <w:rFonts w:ascii="Times New Roman;Times;Serif" w:hAnsi="Times New Roman;Times;Serif"/>
              </w:rPr>
            </w:pPr>
            <w:r>
              <w:rPr>
                <w:rFonts w:ascii="Times New Roman;Times;Serif" w:hAnsi="Times New Roman;Times;Serif"/>
              </w:rPr>
              <w:t>72,643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72,862</w:t>
            </w:r>
          </w:p>
          <w:p>
            <w:pPr>
              <w:pStyle w:val="TableContents"/>
              <w:bidi w:val="0"/>
              <w:spacing w:before="0" w:after="283"/>
              <w:jc w:val="right"/>
              <w:rPr>
                <w:rFonts w:ascii="Times New Roman;Times;Serif" w:hAnsi="Times New Roman;Times;Serif"/>
              </w:rPr>
            </w:pPr>
            <w:r>
              <w:rPr>
                <w:rFonts w:ascii="Times New Roman;Times;Serif" w:hAnsi="Times New Roman;Times;Serif"/>
              </w:rPr>
              <w:t>72,643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40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Cheung was appointed as Chief Executive Officer effective on February 17, 2025.</w:t>
            </w:r>
          </w:p>
        </w:tc>
      </w:tr>
    </w:tbl>
    <w:p>
      <w:pPr>
        <w:pStyle w:val="TextBody"/>
        <w:bidi w:val="0"/>
        <w:spacing w:before="0" w:after="283"/>
        <w:jc w:val="left"/>
        <w:rPr/>
      </w:pPr>
      <w:r>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Tam was appointed as Chief Financial Officer effective on February 17, 2025.</w:t>
            </w:r>
          </w:p>
        </w:tc>
      </w:tr>
    </w:tbl>
    <w:p>
      <w:pPr>
        <w:pStyle w:val="TextBody"/>
        <w:bidi w:val="0"/>
        <w:spacing w:before="0" w:after="283"/>
        <w:jc w:val="left"/>
        <w:rPr/>
      </w:pPr>
      <w:r>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Lou was appointed as Chief Operating Officer effective on February 17, 2025.</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Executive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retain and motivate senior management leaders who are capable of advancing our mission and strategy and, ultimately, creating and maintaining long-term equity value. Such leaders must engage in a collaborative approach and possess the ability to execute our business strategy in an industry characterized by competitiveness and growth;</w:t>
            </w:r>
          </w:p>
        </w:tc>
      </w:tr>
    </w:tbl>
    <w:p>
      <w:pPr>
        <w:pStyle w:val="TextBody"/>
        <w:bidi w:val="0"/>
        <w:spacing w:before="0" w:after="283"/>
        <w:jc w:val="left"/>
        <w:rPr/>
      </w:pPr>
      <w:r>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reward senior management in a manner aligned with our financial performance;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align senior management’s interests with our equity owners’ long-term interests through equity participation and ownership.</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with respect to the compensation of our executive officers, including our named executive officers, are made by the Compensation Committee of the Board. Compensation for our executive officers has the following components: base salary, cash bonus opportunities, broad-based employee benefits, and severance benefits. Base salaries, broad-based employee benefits, and severance benefits are designed to attract and retain senior management talent. We also use cash bonuses and long-term equity awards to promote performance-based pay that aligns the interests of our NEOs with the long-term interests of our equity owners and to enhance executive retention.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salaries for our NEOs are subject to adjustments made by the Compensation Committee, including in connection with our annual review of our NEOs’ base salaries.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Non-Equity Incentive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annual cash incentive bonuses for the NEOs to motivate their achievement of short-term performance goals and tie a portion of their cash compensation to performance. Following the end of each year, the Compensation Committee will determine the extent to which the performance targets were achieved and the amount of the award that is payable to the named executive officers.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855" w:type="dxa"/>
        <w:jc w:val="left"/>
        <w:tblInd w:w="0" w:type="dxa"/>
        <w:tblLayout w:type="fixed"/>
        <w:tblCellMar>
          <w:top w:w="0" w:type="dxa"/>
          <w:left w:w="0" w:type="dxa"/>
          <w:bottom w:w="28" w:type="dxa"/>
          <w:right w:w="0" w:type="dxa"/>
        </w:tblCellMar>
      </w:tblPr>
      <w:tblGrid>
        <w:gridCol w:w="2105"/>
        <w:gridCol w:w="60"/>
        <w:gridCol w:w="2285"/>
        <w:gridCol w:w="60"/>
        <w:gridCol w:w="102"/>
        <w:gridCol w:w="473"/>
        <w:gridCol w:w="60"/>
        <w:gridCol w:w="60"/>
        <w:gridCol w:w="87"/>
        <w:gridCol w:w="488"/>
        <w:gridCol w:w="75"/>
      </w:tblGrid>
      <w:tr>
        <w:trPr/>
        <w:tc>
          <w:tcPr>
            <w:tcW w:w="21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br/>
              <w:t>(US$)</w:t>
            </w:r>
          </w:p>
        </w:tc>
        <w:tc>
          <w:tcPr>
            <w:tcW w:w="75" w:type="dxa"/>
            <w:tcBorders/>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Kit Shing, CHEUNG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8"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 Fai, TAM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4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Zhihan, LOU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Awards and Practices Related to the Grant of Certain Equity Awards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equity incentive plan in place as of the date of this registration statement.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various broad-based employee benefit plans, including medical, dental, vision, life and disability insurance and defined contribution to the Mandatory Provident Fund as required under the Mandatory Provident Fund Schemes Ordinance (Chapter 485 of the Laws of Hong Kong), paid vacation, sick leave and holidays.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descriptions of the employment agreements with each of our NEOs (the “Employment Agreements”) setting forth the terms and conditions of such executive’s employment with 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Kit Shing, CHEUNG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Cheung, pursuant to which he serves as Chief Executive Officer of the Company, Director and Chairman of the Board of Directors effective August 8, 2025. The agreement provides for a base salary of not less than US$153,840 per year. Mr. Cheung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 Fai, TAM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Tam, pursuant to which he serves as Chief Financial Officer of the Company, effective August 8, 2025. The agreement provides for a base salary of not less than US$36,000 per year. Mr. Tam,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Zhihan, LOU</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Lou, pursuant to which he serves as Chief Operating Officer of the Company effective August 8, 2025. The agreement provides for a base salary of US$nil per year. Mr. Lou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Potential Payments upon Termination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Agreements for each of our NEOs, if the executive’s employment is terminated by the Company without Cause, the executive will receive (i) any earned but unpaid bonus for any prior completed fiscal year, payable when such payments would otherwise be paid, (ii) severance payments in the form of base salary continuation payable over the applicable post-termination severance period set forth under the Laws of Hong Kong, (iii) pro rata contribution to the Mandatory Provident Fund, and (iv) continued participation in the Company’s group health plan for the applicable post-termination severance period set forth in the table below.</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 and Practices Related to the Grant of Certain Equity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no outstanding equity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defined contribution to the Mandatory Provident Fund as required under the Mandatory Provident Fund Schemes Ordinance (Chapter 485 of the Laws of Hong Kong) for our eligible employees in Hong Kong. For an employee, subject to the maximum and minimum levels of income (set at HK$30,000 and HK$7,100 per month, respectively, as at the date of this prospectus), an employer will deduct 5% of the relevant income on behalf of an employee as mandatory contributions to a registered MPF scheme with a ceiling (set at HK$1,500 as at the date of this prospectus). The employer will also be required to contribute an amount equivalent to 5% of an employee’s relevant income to the MPF scheme, subject only to the maximum level of income (set at HK$30,000 as at the date of this prospectus)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total compensation paid or accrued during the fiscal year ended December 31, 2025 to each of our non-employee directors.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883" w:type="dxa"/>
        <w:jc w:val="left"/>
        <w:tblInd w:w="0" w:type="dxa"/>
        <w:tblLayout w:type="fixed"/>
        <w:tblCellMar>
          <w:top w:w="0" w:type="dxa"/>
          <w:left w:w="0" w:type="dxa"/>
          <w:bottom w:w="28" w:type="dxa"/>
          <w:right w:w="0" w:type="dxa"/>
        </w:tblCellMar>
      </w:tblPr>
      <w:tblGrid>
        <w:gridCol w:w="2225"/>
        <w:gridCol w:w="60"/>
        <w:gridCol w:w="84"/>
        <w:gridCol w:w="805"/>
        <w:gridCol w:w="60"/>
        <w:gridCol w:w="60"/>
        <w:gridCol w:w="687"/>
        <w:gridCol w:w="1087"/>
        <w:gridCol w:w="60"/>
        <w:gridCol w:w="60"/>
        <w:gridCol w:w="60"/>
        <w:gridCol w:w="560"/>
        <w:gridCol w:w="75"/>
      </w:tblGrid>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88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br/>
              <w: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7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center"/>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Yeung Tak, CHEN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Wesley CHU</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Raj K, THAKAR</w:t>
            </w:r>
            <w:r>
              <w:rPr>
                <w:rFonts w:ascii="Times New Roman;Times;Serif" w:hAnsi="Times New Roman;Times;Serif"/>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 DING</w:t>
            </w:r>
            <w:r>
              <w:rPr>
                <w:rFonts w:ascii="Times New Roman;Times;Serif" w:hAnsi="Times New Roman;Times;Serif"/>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Heung Ping WONG</w:t>
            </w:r>
            <w:r>
              <w:rPr>
                <w:rFonts w:ascii="Times New Roman;Times;Serif" w:hAnsi="Times New Roman;Times;Serif"/>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Nancy YANG</w:t>
            </w:r>
            <w:r>
              <w:rPr>
                <w:rFonts w:ascii="Times New Roman;Times;Serif" w:hAnsi="Times New Roman;Times;Serif"/>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9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Mr. THAKAR served as an independent director of the Company until October 31, 2025.</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Ding served as an independent director of the Company until July 10, 2026.</w:t>
            </w:r>
          </w:p>
        </w:tc>
      </w:tr>
    </w:tbl>
    <w:p>
      <w:pPr>
        <w:pStyle w:val="TextBody"/>
        <w:bidi w:val="0"/>
        <w:spacing w:before="0"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245"/>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Wong served as an independent director of the Company until August 1, 2026.</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31</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4" w:name="a_015"/>
      <w:bookmarkEnd w:id="14"/>
      <w:r>
        <w:rPr>
          <w:rFonts w:ascii="Times New Roman;Times;Serif" w:hAnsi="Times New Roman;Times;Serif"/>
          <w:b/>
          <w:i w:val="false"/>
          <w:caps w:val="false"/>
          <w:smallCaps w:val="false"/>
          <w:sz w:val="20"/>
        </w:rPr>
        <w:t>EQUITY COMPENSATION PLAN INFORMATION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equity incentive plan in place for the years ended December 31, 2025 and 2024 and as of the date of this registration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5" w:name="a_016"/>
      <w:bookmarkEnd w:id="15"/>
      <w:r>
        <w:rPr>
          <w:rFonts w:ascii="Times New Roman;Times;Serif" w:hAnsi="Times New Roman;Times;Serif"/>
          <w:b/>
          <w:i w:val="false"/>
          <w:caps w:val="false"/>
          <w:smallCaps w:val="false"/>
          <w:sz w:val="20"/>
        </w:rPr>
        <w:t>REPORT OF AUDIT COMMITTEE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which consists entirely of directors who meet the independence and experience requirements of the Nasdaq Stock Market, has furnished the following report: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https://ir.etoilesgroup.com/corporate-governance/documents-charters. This committee reviews and reassesses our charter annually and recommends any changes to the Board for approval. The Audit Committee is responsible for overseeing our overall financial reporting process, and for the appointment, compensation, retention, and oversight of the work of SRCO, C.P.A., Professional Corporation. In fulfilling its responsibilities for the financial statements for fiscal year December 31, 2025, the Audit Committee took the following actions: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and discussed the audited financial statements for the fiscal year ended December 31, 2025 with management and SRCO, C.P.A., Professional Corporation, our independent registered public accounting firm;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Discussed with SRCO, C.P.A., Professional Corporation the matters required to be discussed in accordance with Auditing Standard No. 1301- </w:t>
            </w:r>
            <w:r>
              <w:rPr>
                <w:rFonts w:ascii="Times New Roman;Times;Serif" w:hAnsi="Times New Roman;Times;Serif"/>
                <w:i/>
                <w:sz w:val="20"/>
              </w:rPr>
              <w:t>Communications with Audit committees</w:t>
            </w:r>
            <w:r>
              <w:rPr>
                <w:rFonts w:ascii="Times New Roman;Times;Serif" w:hAnsi="Times New Roman;Times;Serif"/>
                <w:sz w:val="20"/>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written disclosures and the letter from SRCO, C.P.A., Professional Corporation regarding its independence as required by applicable requirements of the Public Company Accounting Oversight Board regarding SRCO, C.P.A., Professional Corporation’s communications with the Audit Committee and the Audit Committee further discussed with SRCO, C.P.A., Professional Corporation their independence. The Audit Committee also considered the status of pending litigation, taxation matters and other areas of oversight relating to the financial reporting and audit process that the committee determined appropriate.</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discussions with management and SRCO, C.P.A., Professional Corporation, the Audit Committee recommended to the Board that the audited financial statements be included in our Annual Report on Form 20-F for the fiscal year ended December 31, 2025 for filing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Etoiles Capital Group Co., Ltd.</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Yeung Tak, CHEN, Chair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YANG</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Wesley CHU</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6" w:name="a_017"/>
      <w:bookmarkEnd w:id="16"/>
      <w:r>
        <w:rPr>
          <w:rFonts w:ascii="Times New Roman;Times;Serif" w:hAnsi="Times New Roman;Times;Serif"/>
          <w:b/>
          <w:i w:val="false"/>
          <w:caps w:val="false"/>
          <w:smallCaps w:val="false"/>
          <w:sz w:val="20"/>
        </w:rPr>
        <w:t>SECURITY OWNERSHIP OF CERTAIN BENEFICIAL OWNERS AND MANAGEMENT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the Company regarding the beneficial ownership of the Company’s ordinary shares as of August 14, 2026 by:</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the Company to be the beneficial owner of more than 5% of the outstanding Company ordinary shares;</w:t>
            </w:r>
          </w:p>
        </w:tc>
      </w:tr>
    </w:tbl>
    <w:p>
      <w:pPr>
        <w:pStyle w:val="TextBody"/>
        <w:bidi w:val="0"/>
        <w:spacing w:before="0" w:after="283"/>
        <w:jc w:val="left"/>
        <w:rPr/>
      </w:pPr>
      <w:r>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Company’s executive officers and directors; and</w:t>
            </w:r>
          </w:p>
        </w:tc>
      </w:tr>
    </w:tbl>
    <w:p>
      <w:pPr>
        <w:pStyle w:val="TextBody"/>
        <w:bidi w:val="0"/>
        <w:spacing w:before="0" w:after="283"/>
        <w:jc w:val="left"/>
        <w:rPr/>
      </w:pPr>
      <w:r>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current executive officers and directors as a group.</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 Ordinary shares subject to options exercisable on or within 60 days after August 14, 2026 are deemed outstanding for the purpose of computing the percentage ownership of the person holding those options but are not deemed outstanding for computing the percentage ownership of any other person.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Company ordinary shares is based on 15,110,000 Class A ordinary shares issued and outstanding as of August 14,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all ordinary shares beneficially owned by them.</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032" w:type="dxa"/>
        <w:jc w:val="left"/>
        <w:tblInd w:w="0" w:type="dxa"/>
        <w:tblLayout w:type="fixed"/>
        <w:tblCellMar>
          <w:top w:w="0" w:type="dxa"/>
          <w:left w:w="0" w:type="dxa"/>
          <w:bottom w:w="0" w:type="dxa"/>
          <w:right w:w="0" w:type="dxa"/>
        </w:tblCellMar>
      </w:tblPr>
      <w:tblGrid>
        <w:gridCol w:w="4655"/>
        <w:gridCol w:w="60"/>
        <w:gridCol w:w="60"/>
        <w:gridCol w:w="1100"/>
        <w:gridCol w:w="60"/>
        <w:gridCol w:w="60"/>
        <w:gridCol w:w="60"/>
        <w:gridCol w:w="560"/>
        <w:gridCol w:w="60"/>
        <w:gridCol w:w="60"/>
        <w:gridCol w:w="164"/>
        <w:gridCol w:w="711"/>
        <w:gridCol w:w="130"/>
        <w:gridCol w:w="130"/>
        <w:gridCol w:w="130"/>
        <w:gridCol w:w="568"/>
        <w:gridCol w:w="60"/>
        <w:gridCol w:w="60"/>
        <w:gridCol w:w="106"/>
        <w:gridCol w:w="1008"/>
        <w:gridCol w:w="23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Ordinary</w:t>
              <w:br/>
              <w:t>Shares Beneficially</w:t>
              <w:br/>
              <w:t>Owned</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Ordinary</w:t>
              <w:br/>
              <w:t>Shares Beneficially</w:t>
              <w:br/>
              <w:t>Owned</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Total</w:t>
              <w:br/>
              <w:t>Voting</w:t>
            </w:r>
          </w:p>
        </w:tc>
        <w:tc>
          <w:tcPr>
            <w:tcW w:w="230" w:type="dxa"/>
            <w:tcBorders/>
            <w:vAlign w:val="center"/>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r>
              <w:rPr>
                <w:rFonts w:ascii="Times New Roman;Times;Serif" w:hAnsi="Times New Roman;Times;Serif"/>
                <w:b/>
                <w:sz w:val="20"/>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Power</w:t>
            </w:r>
            <w:r>
              <w:rPr>
                <w:rFonts w:ascii="Times New Roman;Times;Serif" w:hAnsi="Times New Roman;Times;Serif"/>
                <w:b/>
                <w:position w:val="7"/>
                <w:sz w:val="16"/>
                <w:sz w:val="20"/>
              </w:rPr>
              <w:t>(2)</w:t>
            </w:r>
          </w:p>
        </w:tc>
        <w:tc>
          <w:tcPr>
            <w:tcW w:w="23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Executive Officers: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 Fai, TAM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Zhihan, LOU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Nancy YANG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Etoiles Zeneo Investment Limited</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none of our outstanding Shares are held by record holders in the United States.</w:t>
      </w:r>
    </w:p>
    <w:p>
      <w:pPr>
        <w:pStyle w:val="TextBody"/>
        <w:bidi w:val="0"/>
        <w:spacing w:before="0" w:after="0"/>
        <w:ind w:left="0" w:right="0" w:hanging="0"/>
        <w:jc w:val="both"/>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25"/>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noted, the business address of each of the following entities or individuals is Unit 03-04, 25/F, Cosco Tower, 183 Queen’s Road Central, Sheung Wan, Hong Kong.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of ownership is based on 15,110,000 Ordinary Shares, consisting of 15,110,000 Class A Ordinary Shares outstanding of the date of this annual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6" w:type="dxa"/>
            <w:tcBorders/>
            <w:vAlign w:val="center"/>
          </w:tcPr>
          <w:p>
            <w:pPr>
              <w:pStyle w:val="TableContents"/>
              <w:bidi w:val="0"/>
              <w:spacing w:before="0" w:after="283"/>
              <w:jc w:val="both"/>
              <w:rPr/>
            </w:pPr>
            <w:r>
              <w:rPr/>
              <w:t>Comprised of 10,287,000 Class A Ordinary Shares owned by Etoiles Zeneo Investment Limited, which entities are all wholly-owned by Mr. Kit Shing, CHEUNG, as of the date of this prospectus. Therefore, Mr. Kit Shing, CHEUNG has the voting and dispositive control over the shares held by each of these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7" w:name="a_018"/>
      <w:bookmarkEnd w:id="17"/>
      <w:r>
        <w:rPr>
          <w:rFonts w:ascii="Times New Roman;Times;Serif" w:hAnsi="Times New Roman;Times;Serif"/>
          <w:b/>
          <w:i w:val="false"/>
          <w:caps w:val="false"/>
          <w:smallCaps w:val="false"/>
          <w:sz w:val="20"/>
        </w:rPr>
        <w:t>CERTAIN RELATIONSHIPS AND RELATED PERSON TRANSACTIONS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“Executive Compensation— Employment Agreements”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customary indemnification agreements with our executive officers and directors that provide, in general, that we will provide them with customary indemnification in connection with their service to us or on our behalf.</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 In connection with the domestication, Etoiles Capital Nevada is expected to enter into new indemnification agreements with its executive officers and directors to provide contractual rights to 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related party transactions of our company that occurred during the past three fiscal years up to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Amount (to) due from a director</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510"/>
        <w:gridCol w:w="60"/>
        <w:gridCol w:w="150"/>
        <w:gridCol w:w="350"/>
        <w:gridCol w:w="60"/>
        <w:gridCol w:w="60"/>
        <w:gridCol w:w="140"/>
        <w:gridCol w:w="755"/>
        <w:gridCol w:w="95"/>
        <w:gridCol w:w="60"/>
        <w:gridCol w:w="140"/>
        <w:gridCol w:w="800"/>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 Kit Shing, CHEUNG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represents advanced to (by) a director. Amount due (to) from a director is non-trade, unsecured, non-interest bearing and repayable on demand.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Salaries paid related parties</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3095"/>
        <w:gridCol w:w="60"/>
        <w:gridCol w:w="140"/>
        <w:gridCol w:w="800"/>
        <w:gridCol w:w="60"/>
        <w:gridCol w:w="60"/>
        <w:gridCol w:w="140"/>
        <w:gridCol w:w="800"/>
        <w:gridCol w:w="60"/>
        <w:gridCol w:w="60"/>
        <w:gridCol w:w="140"/>
        <w:gridCol w:w="68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75" w:type="dxa"/>
            <w:tcBorders/>
            <w:vAlign w:val="center"/>
          </w:tcPr>
          <w:p>
            <w:pPr>
              <w:pStyle w:val="TableContents"/>
              <w:bidi w:val="0"/>
              <w:spacing w:before="0" w:after="283"/>
              <w:jc w:val="left"/>
              <w:rPr/>
            </w:pPr>
            <w:r>
              <w:rPr/>
              <w:t> </w:t>
            </w:r>
          </w:p>
        </w:tc>
      </w:tr>
      <w:tr>
        <w:trPr/>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Salary paid to a related party:</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Mr. Kit Shing, CHEUNG </w:t>
            </w:r>
            <w:r>
              <w:rPr>
                <w:rFonts w:ascii="Times New Roman;Times;Serif" w:hAnsi="Times New Roman;Times;Serif"/>
                <w:position w:val="7"/>
                <w:sz w:val="16"/>
                <w:sz w:val="20"/>
              </w:rPr>
              <w: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25,545</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Ms. On Ki CHEUNG </w:t>
            </w:r>
            <w:r>
              <w:rPr>
                <w:rFonts w:ascii="Times New Roman;Times;Serif" w:hAnsi="Times New Roman;Times;Serif"/>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28" w:type="dxa"/>
          <w:right w:w="0" w:type="dxa"/>
        </w:tblCellMar>
      </w:tblPr>
      <w:tblGrid>
        <w:gridCol w:w="4055"/>
        <w:gridCol w:w="60"/>
        <w:gridCol w:w="175"/>
        <w:gridCol w:w="325"/>
        <w:gridCol w:w="60"/>
        <w:gridCol w:w="60"/>
        <w:gridCol w:w="175"/>
        <w:gridCol w:w="325"/>
        <w:gridCol w:w="60"/>
        <w:gridCol w:w="60"/>
        <w:gridCol w:w="175"/>
        <w:gridCol w:w="325"/>
        <w:gridCol w:w="75"/>
      </w:tblGrid>
      <w:tr>
        <w:trPr/>
        <w:tc>
          <w:tcPr>
            <w:tcW w:w="40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Rental expenses paid to a related party:</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Mr. Kit Shing CHEUNG </w:t>
            </w:r>
            <w:r>
              <w:rPr>
                <w:rFonts w:ascii="Times New Roman;Times;Serif" w:hAnsi="Times New Roman;Times;Serif"/>
                <w:position w:val="7"/>
                <w:sz w:val="16"/>
                <w:sz w:val="20"/>
              </w:rPr>
              <w:t xml:space="preserve">(a)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1, 2025, the Company entered into a lease agreement with a director, Mr. Kit Shing CHEUNG, pursuant to which the Company leases a property to be used as a clubhouse for corporate and client engagement purposes.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commenced on August 1, 2025 and will expire on December 31, 2030. The lease was reviewed and approved by the independent and non-conflict members of the Board of Directors. The monthly rent is $34,917 was determined with reference to prevailing market rates for comparable commercial properties and represents, in management’s assessment, a fair market rate for the premises. The lease provides for a rent-free period from August 1, 2025, to December 31, 2025 to allow for renovation and interior decoration of the premise. Accordingly, no rental payments were made during this rent-free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clubhouse is currently undergoing renovation and interior decoration. As of December 31, 2025, the property was not yet ready for use and had not commenced operations. The up-front payment of $524,199 is recognized as construction in progress as of December 31, 2025. The Company expects the clubhouse to be completed and ready to provide services in February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bdr w:val="single" w:sz="12" w:space="1" w:color="000000"/>
        </w:rPr>
      </w:pPr>
      <w:r>
        <w:rPr>
          <w:bdr w:val="single" w:sz="12" w:space="1" w:color="000000"/>
        </w:rPr>
        <w:t>35</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4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Kit Shing, CHEUNG is the director, Chief Executive Officer and a principal shareholder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On Ki, CHEUNG, is a close family member of a director, Mr. Kit Shing, CHEUNG.</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 audit committee charter, which will require the committee to review all related party transactions on an ongoing basis and all such transactions be approved by the audit committee. In determining whether to approve a related party transaction, the audit committee shall consider, among other factors, the following factors to the extent relevant to the related party transaction: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terms of the related party transaction are fair to the Company and on the same basis as would apply if the transaction did not involve a related party;</w:t>
            </w:r>
          </w:p>
        </w:tc>
      </w:tr>
    </w:tbl>
    <w:p>
      <w:pPr>
        <w:pStyle w:val="TextBody"/>
        <w:bidi w:val="0"/>
        <w:spacing w:before="0" w:after="0"/>
        <w:ind w:left="108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there are business reasons for the Company to enter into the related party transaction;</w:t>
            </w:r>
          </w:p>
        </w:tc>
      </w:tr>
    </w:tbl>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related party transaction would impair the independence of an outside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related party transaction would present an improper conflict of interest for any director or executive officer of the Company, taking into account the size of the transaction, the overall financial position of the director, executive officer or the related party, the direct or indirect nature of the director’s, executive officer’s or the related party’s interest in the transaction and the ongoing nature of any proposed relationship, and any other factors the audit committee deems relevant; and</w:t>
            </w:r>
          </w:p>
        </w:tc>
      </w:tr>
    </w:tbl>
    <w:p>
      <w:pPr>
        <w:pStyle w:val="TextBody"/>
        <w:bidi w:val="0"/>
        <w:spacing w:before="0" w:after="0"/>
        <w:ind w:left="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pre-existing contractual obligations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Transaction” is a transaction, arrangement or relationship in which the Company or any of its subsidiaries was, is or will be a participant, the amount of which involved exceeds the lesser of (i) US$120,000, and (ii) one percent of the average of the Company’s total assets at year end for the last two completed fiscal years,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Notwithstanding anything to the contrary herein, (i) any election by the Company pursuant to the Exchange Agreement to deliver any Cash Exchange Notice or make any Cash Exchange Payment (as such terms are defined in the Exchange Agreement) with any Related Person or any affiliate of any Related Person and (ii) any material amendment to the Exchange Agreement, are deemed to be related person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is: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is or was an executive officer, director, or director nominee of the Company at any time since the beginning of the Company’s last fiscal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who is or was an Immediate Family Member (as defined below) of an executive officer, director, director nominee at any time since the beginning of the Company’s last fiscal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at the time of the occurrence or existence of the transaction, is the beneficial owner of more than 5% of any class of the Company’s voting securities (a “Significant Stockholder”);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at the time of the occurrence or existence of the transaction, is an Immediate Family Member of a Significant Stockholder of the Company.</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related person transaction will be reviewed and approved by the audit committee prior to effectiveness or consummation of the transaction, whenever practicable, and if advance approval is not practicable under the circumstances, ratified by the audit committee at its next meeting. Alternatively, a related person transaction arising in the time period between meetings of the audit committee may be presented to the chairperson of the audit committee, who shall review and may approve the related person transaction, subject to ratification by the audit committee at the next meeting of the audit committee.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related person’s interest in the transaction;</w:t>
            </w:r>
          </w:p>
        </w:tc>
      </w:tr>
    </w:tbl>
    <w:p>
      <w:pPr>
        <w:pStyle w:val="TextBody"/>
        <w:bidi w:val="0"/>
        <w:spacing w:before="0" w:after="283"/>
        <w:jc w:val="left"/>
        <w:rPr/>
      </w:pPr>
      <w:r>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approximate dollar value of the amount involved in the transaction;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approximate dollar value of the amount of the related person’s interest in the transaction without regard to the amount of any profit or loss;</w:t>
            </w:r>
          </w:p>
        </w:tc>
      </w:tr>
    </w:tbl>
    <w:p>
      <w:pPr>
        <w:pStyle w:val="TextBody"/>
        <w:bidi w:val="0"/>
        <w:spacing w:before="0" w:after="283"/>
        <w:jc w:val="left"/>
        <w:rPr/>
      </w:pPr>
      <w:r>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was undertaken in the ordinary course of business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with the related person is proposed to be, or was, entered into on terms no less favorable to the Company than terms that could have been reached with an unrelated third party;</w:t>
            </w:r>
          </w:p>
        </w:tc>
      </w:tr>
    </w:tbl>
    <w:p>
      <w:pPr>
        <w:pStyle w:val="TextBody"/>
        <w:bidi w:val="0"/>
        <w:spacing w:before="0" w:after="283"/>
        <w:jc w:val="left"/>
        <w:rPr/>
      </w:pPr>
      <w:r>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of, and the potential benefits to the Company of, the transaction;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information regarding the transaction or the related person in the context of the proposed transaction that would be material to investors in light of the circumstances of the particular transaction.</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approve only those transactions that it determines are fair to the Company and in the Company’s best interests.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37</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8" w:name="a_019"/>
      <w:bookmarkEnd w:id="18"/>
      <w:r>
        <w:rPr>
          <w:rFonts w:ascii="Times New Roman;Times;Serif" w:hAnsi="Times New Roman;Times;Serif"/>
          <w:b/>
          <w:i w:val="false"/>
          <w:caps w:val="false"/>
          <w:smallCaps w:val="false"/>
          <w:sz w:val="20"/>
        </w:rPr>
        <w:t>DESCRIPTION OF SECURITIES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Etoiles Capital Nevada’s capital stock reflects Etoiles Capital Nevada’s capital stock as it will exist upon completion of the domestication, at the effective time of the domestication. Subject to the approval of the domestication proposal and the new charter proposal, at the effective time of the domestication Etoiles Capital Nevada’s capital stock will be governed by the Proposed Charter and Proposed Bylaws and the NRS. This description is a summary and is not complete. We urge you to read in their entirety Etoiles Capital Nevada’s Proposed Organizational Documents, which, subject to the approval of the domestication proposal and the new charter proposal, will be in effect at the effective time of the domestication and are attached to this proxy statement/prospectus as Annexes B and C. The following summary should be read in conjunction with the section entitled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authorizes the issuance of 450,000,000 shares of capital stock, par value US$0.0001 per share. All issued and outstanding shares of capital stock of Etoiles Capital Nevada in connection with domestication will be, duly authorized, validly issued, fully paid and non-assessable. As of the record date for the annual general meeting, there were (1) [  ] shares of Class A ordinary shares of Etoiles Capital issued and outstanding held by [  ] holders of record and [  ] shares of Class B ordinary shares of Etoiles Capital issued and outstanding held by [  ] holders of record and (2) no shares of Etoiles Capital’s preferred stock outstanding. Such numbers do not include DTCC participants or beneficial owners holding shares through nominee names.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domestication, there will be approximately [  ] shares of Common Stock outstanding. All shares of Common Stock to be issued in connection with the domestication will be validly issued, fully paid and non-assessable.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the shares of Common Stock is entitled to one vote for each share of Common Stock held of record by such holder on all matters on which stockholders generally are entitled to vote. The holders of the shares of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Proposed Charter or any applicable law. Notwithstanding the foregoing, the holders of the outstanding shares of Common Stock will be entitled to vote separately upon any amendment to the Proposed Charter (including by merger, consolidation, reorganization or similar event) that would alter or change the powers, preferences or special rights of such class of common stock in a manner that is adverse (in addition to any other class vote required by applicable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preferences that may be applicable to any shares of preferred stock then outstanding, the holders of shares of common stock are entitled to receive ratably such dividends, if any, as may be declared from time to time by the board of directors of Etoiles Capital Nevada out of assets of Etoiles Capital Nevada legally available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upon Liquidation, Dissolution and Winding-Up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in the event of any voluntary or involuntary liquidation, dissolution or winding up of Etoiles Capital Nevada’s affairs, after payment of Etoiles Capital Nevada’s debts and other liabilities, and of preferential and other amounts, if any, to which the holders of preferred stock are entitled, if any, the holders of the shares of Common Stock are entitled to (i) receive, an amount per share equal to the par value thereof, and (ii) thereafter, to share ratably in all assets remaining and available for distribution.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Common Stock have no preemptive or conversion rights or other subscription rights (other than in connection with certain issuances of common units under the limited liability company agreement of Etoiles Capital Holdings). There are no redemption or sinking fund provisions applicable to the shares of Common Stock. The rights, preferences and privileges of holders of shares of Common Stock will be subject to those of the holders of any shares of preferred stock Etoiles Capital Nevada may issue in the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38</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Proposed Charter and the Proposed Bylaws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Proposed Charter and the Proposed Bylaws, as described below, could have the effect of delaying, deterring or preventing another party from acquiring or seeking to acquire control of Etoiles Capital Nevada. These provisions are intended to discourage certain types of coercive takeover practices and inadequate takeover bids and to encourage anyone seeking to acquire control of us to negotiate first with the board of directors. However, these provisions may also delay, deter or prevent a change in control or other takeover of Etoiles Capital Nevada that stockholders of Etoiles Capital Nevada might consider to be in their best interests, including transactions that might result in a premium being paid over the market price of the common stock and also may limit the price that investors are willing to pay in the future for the common stock. These provisions may also have the effect of preventing changes in our management. We believe that the benefits of increased protection give Etoiles Capital Nevada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Meetings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and the Proposed Bylaws provide that, special meetings of Etoiles Capital Nevada’s stockholders may be called only by the chairperson of the board of directors of Etoiles Capital Nevada, the chief executive officer, the president, or at the direction of the board pursuant to a written resolution adopted by a majority of the total number of directors that Etoiles Capital Nevada would have if there were no vacancies.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Bylaws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Bylaws may generally be altered, amended or repealed, and new bylaws of Etoiles Capital Nevada may be adopted, by:</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majority of the Board;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holders of at least at least a majority of the voting power of all of the then-outstanding shares of the capital stock of Etoiles Capital Nevada entitled to vote thereon, voting together as a single class.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requires that Etoiles Capital Nevada indemnify (and advance expenses to) its directors and officers to the fullest extent permitted by the NRS. The NRS and certain provisions of our Proposed Organizational Documents under certain circumstances provide for indemnification of our officers, directors, and other agents against liabilities that they may incur in such capacities. A summary of the circumstances in which such indemnification is provided for is contained herein, but this description is qualified in its entirety by reference to our Proposed Organizational Documents and to the statutory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officer, director, employee, or agent may be indemnified against expenses, fines, settlements, or judgments arising in connection with a legal proceeding to which such person is a party, if that person’s actions were in good faith, were believed to be in our best interest, and were not unlawful. Unless such person is successful upon the merits in such an action, indemnification may be awarded only after a determination by independent decision of our board of directors, by legal counsel, or by a vote of our stockholders, that the applicable standard of conduct was met by the person to be indemnified.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circumstances under which indemnification is granted in connection with an action brought on our behalf is generally the same as those set forth above; however, with respect to such actions, indemnification is granted only with respect to expenses actually incurred in connection with the defense or settlement of the action. In such actions, the person to be indemnified must have acted in good faith and in a manner believed to have been in our best interest and have not been adjudged liable for negligence or misconduct.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and particularly as provide in NRS 78.138(7), our Proposed Charter eliminates liability of our directors to us or our stockholders for monetary damages for breach of a director’s fiduciary duty as a director. Generally, NRS 78.138(7), subject to stated exceptions, eliminates the liability of a director or officer as a result of any act or failure to act (a) if the presumption that the director or officer acted in good faith on an informed basis and with a view to the interests of the corporation is rebutted; and (b)(i) it is proven that the director’s or officer’s act or failure to act constituted a breach of the fiduciary duty of the director or officer and (ii) such breach involved intentional misconduct, fraud, or a knowing violation of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39</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Nevada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 Share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provisions of NRS 78.378 to NRS 78.3793, inclusive, apply to “issuing corporations” that are Nevada corporations with at least 200 stockholders, including at least 100 stockholders of record who are Nevada residents, and that conduct business directly or indirectly in Nevada. The control share statute prohibits an acquirer, under certain circumstances, from voting its shares of a target corporation’s stock after crossing certain ownership threshold percentages, unless the acquirer obtains approval of the target corporation’s disinterested stockholders. The statute specifies three thresholds: one-fifth or more but less than one-third, one-third but less than a majority, and a majority or more, of the outstanding voting 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may elect to not be governed by, or “opt out” of, the control share provisions by making an election in its articles of incorporation or bylaws, provided that the opt-out election must be in place on the 10th day following the date an acquiring person has acquired a controlling interest, that is, crossing any of the three thresholds described above. We have opted out of the control share statutes in both our Proposed Charter and Proposed Bylaws and will be subject to these statutes if we are an “issuing corporation” as defined in such statutes, unless the opt-out elections are removed on or before the 10th day following the date an acquiring person has acquired a 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provisions of NRS 78.411 to NRS 78.444, inclusive, generally prohibit a Nevada corporation with at least 200 stockholders, a “resident domestic corporation,” from engaging in various “combination” transactions with any interested stockholder for a period of two years after the date of the transaction in which the person became an interested stockholder, unless the transaction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Such prohibition extends beyond the expiration of the two-year period, unless: (a) the combination was approved by the board of directors prior to the person becoming an interested stockholder or the transaction by which the person first became an interested stockholder was approved by the board of directors before the person became an interested stockholder or the combination is later approved by a majority of the voting power held by disinterested stockholders; or (b)the combination meets specified statutory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 may opt out of the business combinations provisions of the NRS by making an election to do so in its original articles of incorporation, by adopting an amendment to its articles of incorporation that is approved by the affirmative vote of holders of stock representing a majority of the outstanding voting power of the resident domestic corporation not beneficially owned by interested stockholders or their affiliates, or whose articles of incorporation were amended to contain a provision expressly electing not to be governed by the business combinations statutes before the date the corporation first became a resident domestic corporation. We have opted out of the business combinations statutes in our Proposed Charter and will not be subject to these statutes if we are a resident domestic corporation as defined in the NRS unless the opt-out provision is later removed from our Proposed Charter.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will be VStock Transfer, LLC.</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will be listed on the Nasdaq Capital Market under the symbol “EFTY.”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9" w:name="a_020"/>
      <w:bookmarkEnd w:id="19"/>
      <w:r>
        <w:rPr>
          <w:rFonts w:ascii="Times New Roman;Times;Serif" w:hAnsi="Times New Roman;Times;Serif"/>
          <w:b/>
          <w:i w:val="false"/>
          <w:caps w:val="false"/>
          <w:smallCaps w:val="false"/>
          <w:sz w:val="20"/>
        </w:rPr>
        <w:t>MATERIAL U.S. FEDERAL INCOME TAX CONSIDERATIONS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a discussion of material U.S. federal income tax considerations of the domestication generally applicable to holders of Etoiles Capital Class A ordinary shares. This section applies only to holders that hold their Class A ordinary shares as capital assets for U.S. federal income tax purposes (generally, property held for investment). This section is general in nature and does not discuss all aspects of U.S. federal income taxation that might be relevant to a particular holder in light of such holder’s circumstances or status, nor does it address tax considerations applicable to a holder subject to special rules,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in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taxpayer that elects to use a mark-to-market method of accounting,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subchapter S corporation,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grantor trust,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holding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life insurance company, real estate investment trust or regulated investment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liable for alternative minimum tax,</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 or former long-term resident of the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actually or constructively owns 5% or more of Etoiles Capital stock (by vote or value),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for U.S. federal income tax purposes, or a beneficial owner of a partnership,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holds Etoiles Capital securities as part of a straddle or a hedging or conversion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whose functional currency is not the U.S. dollar,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received Etoiles Capital securities as compensation for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passive foreign investment company.</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U.S. Internal Revenue Code of 1986, as amended (the “Code”), proposed, temporary and final Treasury Regulations promulgated under the Code (the “Treasury Regulations”),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for example, estate or gift taxes or the Medicare tax on investment income), nor does it address any aspects of U.S. state or local or non-U.S. taxation.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do not intend to seek any rulings from the U.S. Internal Revenue Service (the “IRS”) regarding the domestication. There can be no assurance that the IRS will not take positions concerning the tax consequences of the transactions that are inconsistent with the considerations discussed below or that any such positions would not be sustained by a court.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any entity or arrangement treated as a partnership) for U.S. federal income tax purposes holds Etoiles Capital Class A ordinary shares or Common Stock, the tax treatment of such partnership and a partner of such partnership will generally depend on the status of the partner and the activities of the partnership. Partnerships holding any Etoiles Capital Class A ordinary shares or Common Stock, and persons that are treated as partners of such partnerships should consult their tax advisors as to the particular U.S. federal income tax consequences of the domestication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IS FOR INFORMATIONAL PURPOSES ONLY. ALL SHAREHOLDERS SHOULD CONSULT THEIR TAX ADVISORS REGARDING THE TAX CONSEQUENCES OF THE DOMESTICATION INCLUDING THE EFFECTS OF U.S. FEDERAL, STATE AND LOCAL AND NON-U.S. TAX LAWS.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41</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prior the domestication, a beneficial owner of Etoiles Capital Class A ordinary shares or, after the domestication, a beneficial owner of Etoiles Capital Nevada Common Stock, as the case may be, who or that is, for U.S. federal income tax purposes: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that is treated as a corporation for U.S. federal income tax purposes) created or organized in or under the laws of the U.S. or any state thereof (including the District of Columbia),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Domestication on U.S. Holders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for the domestication to qualify as a Reorganization. However, U.S. federal income tax rules regarding Reorganizations are complex and there is no assurance that the domestication will qualify as a Reorganization. U.S. Holders will be treated for U.S. federal income tax purposes as having exchanged their Etoiles Capital Class A ordinary shares for Etoiles Capital Nevada Common Stock. Assuming the domestication qualifies as a Reorganization, (i) U.S. Holders generally would not recognize gain or loss on the domestication for U.S. federal income tax purposes, except as provided below under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PFIC Considerations</w:t>
      </w:r>
      <w:r>
        <w:rPr>
          <w:rFonts w:ascii="Times New Roman;Times;Serif" w:hAnsi="Times New Roman;Times;Serif"/>
          <w:b w:val="false"/>
          <w:i w:val="false"/>
          <w:caps w:val="false"/>
          <w:smallCaps w:val="false"/>
          <w:sz w:val="20"/>
        </w:rPr>
        <w:t>,” (ii) the initial tax basis of a new share of Etoiles Capital Nevada Common Stock deemed received by a U.S. Holder in the domestication would equal the U.S. Holder’s tax basis in the Etoiles Capital Class A ordinary share deemed surrendered in exchange thereof, increased by any amount included in the income of such U.S. Holder as a result of Section 367 of the Code — see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and (iii) the holding period for a new share of Common Stock deemed received by a U.S. Holder would include such Holder’s holding period for the Class A ordinary share deemed surrendered in exchange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does not qualify as a Reorganization, then a U.S. Holder that exchanges its Etoiles Capital Class A ordinary shares for shares of Etoiles Capital Nevada Common Stock generally will recognize gain or loss equal to the difference between (i) the sum of the fair market value of the Common Stock deemed received and (ii) the U.S. Holder’s adjusted tax basis in the Class A ordinary shares deemed surrendered. In such event, such U.S. Holder’s basis in the shares of Class A ordinary shares would be equal to their fair market value on the date of the domestication, and such U.S. Holder’s holding period for its Class A ordinary shares would begin on the day following the date of the domestication. Holders who hold different blocks of Class A ordinary shares (generally, Class A ordinary shares purchased or acquired on different dates or at different prices) should consult their tax advisors to determine how the above rules apply to them.</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a U.S. Holder generally would be required to include in gross income the amount of any distribution of cash or other property paid on the Etoiles Capital Nevada Common Stock (See “</w:t>
      </w:r>
      <w:r>
        <w:rPr>
          <w:rFonts w:ascii="Times New Roman;Times;Serif" w:hAnsi="Times New Roman;Times;Serif"/>
          <w:b w:val="false"/>
          <w:i/>
          <w:caps w:val="false"/>
          <w:smallCaps w:val="false"/>
          <w:sz w:val="20"/>
        </w:rPr>
        <w:t>Distributions on Shares of Etoiles Capital Nevada Common Stock</w:t>
      </w:r>
      <w:r>
        <w:rPr>
          <w:rFonts w:ascii="Times New Roman;Times;Serif" w:hAnsi="Times New Roman;Times;Serif"/>
          <w:b w:val="false"/>
          <w:i w:val="false"/>
          <w:caps w:val="false"/>
          <w:smallCaps w:val="false"/>
          <w:sz w:val="20"/>
        </w:rPr>
        <w:t>” below). A distribution on such shares generally would be treated as U.S. source dividend income for U.S. federal income tax purposes to the extent the distribution is paid out of our current or accumulated earnings and profits (as determined under U.S. federal income tax principles). Such amount would be includible in gross income by a U.S. Holder on the date that such U.S. Holder actually or constructively receives the distribution in accordance with such U.S. Holder’s regular method of accounting for U.S. federal income tax purposes. Dividends paid by us to a corporate U.S. Holder would be eligible for the dividends-received deduction generally allowed to domestic corporations in respect of dividends received from other domestic corporations. With respect to non-corporate U.S. Holders, such dividends generally would be taxed at the lower applicable capital gains rate.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Section 367 to U.S. Holders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367 of the Code applies to certain non-recognition transactions involving foreign corporations, including a domestication of a foreign corporation in a Reorganization. Section 367 of the Code generally gives rise to gain recognition or other income inclusions with respect to certain U.S. persons in connection with transactions that would otherwise be non-recognition transactions for U.S. federal income tax purposes. Section 367(b) of the Code will generally apply to U.S. Holders of Etoiles Capital Class A ordinary shares at the time of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85"/>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50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10 Percent or More of Etoiles Capital</w:t>
            </w:r>
          </w:p>
        </w:tc>
      </w:tr>
    </w:tbl>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beneficially owns (directly, indirectly or constructively) 10% or more of the total combined voting power of all classes of Etoiles Capital stock entitled to vote (a “U.S. Shareholder”) must include in income as a dividend the “all earnings and profits amount” attributable to the Etoiles Capital Class A ordinary shares it directly owns, within the meaning of Treasury Regulations under Section 367 of the Code. A U.S. Holder’s ownership of warrants and stock options will be taken into account in determining whether such holder owns 10% or more of the total combined voting power of all classes of stock. Complex attribution rules apply in determining whether a U.S. Holder owns 10% or more of the total combined voting power of all classes of Etoiles Capital stock entitled to vote and all U.S. Holders are urged to consult their tax advisors with respect to these attribution rules.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Shareholder’s “all earnings and profits amount” with respect to its Etoiles Capital Class A ordinary shares is the net positive earnings and profits of Etoiles Capital (as determined under Treasury Regulations under Section 367 of the Code) attributable to the shares (as determined under Treasury Regulations under Section 367 of the Code) but without regard to any gain that would be realized on a sale or exchange of such shares.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expects that its cumulative earnings and profits will be greater than zero at the time of the domestication. As a result, such U.S. Shareholders described above generally should be required to include in gross income an “all earnings and profits amount” with respect to its Etoiles Capital Class A ordinary shares.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8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51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Less Than 10 Percent of Etoiles Capital</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beneficially owns (directly, indirectly or constructively) Etoiles Capital Class A ordinary shares with a fair market value of $50,000 or more but less than 10% of the total combined voting power of all classes of Etoiles Capital stock entitled to vote will recognize gain (but not loss) with respect to the domestication or, in the alternative, may elect to recognize the “all earnings and profits” amount attributable to such holder as described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U.S. Holder makes the “all earnings and profits” election as described below, such holder generally must recognize gain (but not loss) with respect to Etoiles Capital Nevada Common Stock received in the domestication in an amount equal to the excess of the fair market value of the Common Stock received over the U.S. Holder’s adjusted tax basis in the Class A ordinary shares deemed surrendered in exchange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recognizing any gain as described in the preceding paragraph, a U.S. Holder may elect to include in income the “all earnings and profits amount” attributable to its Class A ordinary shares under Section 367(b) of the Code. There are, however, strict conditions for making this election. Such U.S. Holders should consult their tax advisors as to the requirements of the election, and the particular U.S. federal income tax consequences of the election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expects that its cumulative earnings and profits will be greater than zero at the time of the domestication. Accordingly, U.S. Holders who make this election should generally have an income inclusion under Section 367(b) of the Code provided the U.S. Holder properly executes the election and complies with the applicable notice requirements.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 ARE STRONGLY URGED TO CONSULT A TAX ADVISOR REGARDING THE CONSEQUENCES OF MAKING AN ELECTION AND THE APPROPRIATE FILING REQUIREMENTS WITH RESPECT TO AN ELECTION.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43</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0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Etoiles Capital Class A Ordinary Shares with a Fair Market Value of Less Than $50,000</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owns (or is considered to own) stock of Etoiles Capital with a fair market value less than $50,000 should not be required to recognize any gain or loss under Section 367 of the Code in connection with the domestication, and generally should not be required to include any part of the “all earnings and profits amount” in income.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U.S. Holders are urged to consult their tax advisors with respect to the effect of Section 367 of the Code to their particular circumstances.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PFIC Considerations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discussion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the domestication could be a taxable event to U.S. Holders under the passive foreign investment company (“PFIC”) provisions of the Code.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18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25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PFIC Status of Etoiles Capital</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Etoiles Capital will be a PFIC with respect to a U.S. Holder if, for any taxable year in which such holder held Etoiles Capital Class A ordinary shares, (a) at least 75% or more of Etoiles Capital’s gross income for the taxable year was passive income or (b) at least 50% or more of the value, determined on the basis of a quarterly average, of Etoiles Capital’s assets is attributable to assets that produce or are held to produce passive income. Passive assets are those which give rise to passive income, and may include assets held for investment, as well as cash, assets readily convertible into cash, and working capital. Passive income generally includes dividends, interest, rents and royalties, but excludes rents and royalties that are derived in the active conduct of a trade or business and that are received from an unrelated person, as well as annuities and gains from assets that produce passive income. Etoiles Capital’s goodwill and other unbooked intangibles are taken into account and may be classified as active or passive depending upon the relative amounts of income generated by Etoiles Capital in each category.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Etoiles Capital is a PFIC for any taxable year (or portion thereof) that is included in the holding period of a U.S. Holder of our Class A ordinary shares, such U.S. Holder may be subject to adverse U.S. federal income tax consequences and may be subject to additional reporting requirements. Whether Etoiles Capital is treated as a PFIC for U.S. federal income tax purposes is a factual determination that must be made annually at the close of each taxable year and, thus, is subject to significant uncertainty.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other taxable years. Furthermore, fluctuations in the market price of our Class A ordinary shares m ay cause us to be a PFIC for the current or other taxable years because the value of our assets for purposes of the asset test, including the value of our goodwill and unbooked intangibles, may be determined by reference to the market price of our Class A ordinary shares from time to time (which may be volatile). Among other matters, if our market capitalization is less than anticipated or subsequently declines, we may be or become a PFIC for the current or other taxable years. The composition of our income and assets may also be affected by how, and how quickly, we use our liquid assets and the cash raised in securities offerings. Under circumstances where our revenues from activities that produce passive income significantly increases relative to our revenues from activities that produce non-passive income, or where we determine not to deploy significant amounts of cash for active purposes, our risk of becoming a PFIC may substantially increase.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assurance that Etoiles Capital will not be treated as a PFIC in the current taxable year or any other taxable year. Moreover, the application of the PFIC rules are subject to uncertainty in several respects, and there can be no assurance that the IRS will not take a contrary position or that a court will not sustain such a challenge by the IRS.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8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35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Effects of PFIC Rules on the Domestication</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or if gain recognition under Section 1291(f) of the Code is effective even in the absence of final Treasury Regulations, those regulations may require taxable gain recognition in the domestication if Etoiles Capital were a PFIC at any time during such U.S. Holder’s holding period in such stock and the U.S. Holder had not made a QEF Election (as described below) for the first taxable year in which the U.S. Holder owned Etoiles Capital Class A ordinary shares or in which Etoiles Capital was a PFIC, whichever is later or a mark-to-market election (as described below). The tax on any such recognized gain would be imposed based on a complex set of computational rules designed to offset the tax deferral with respect to the undistributed earnings of Etoiles Capital.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would be allocated ratably over the U.S. Holder’s holding period for such holder’s Etoiles Capital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Etoiles Capital was a PFIC, would be taxed as ordinary income;</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44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holder’s holding period would be taxed at the highest tax rate in effect for that year applicable to the U.S. Holder;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charge generally applicable to underpayments of tax would be imposed in respect of the tax attributable to each such other taxable year of the U.S. Holder.</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“all earnings and profits amount” included in income by a U.S. Holder as a result of the domestication (discussed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generally would be treated as gain subject to these rules.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proposed regulation issued under the PFIC rules generally treats an “option” to acquire the stock of a PFIC as stock of the PFIC, while a final regulation issued under the PFIC rules provides that the holder of an option is not entitled to make a QEF election with respect to the option. It is difficult to predict whether, in what form and with what effective date, final Treasury Regulations under Section 1291(f) of the Code will be adopted if at all, and, further, whether the IRS would take the position that Section 1291(f) of the Code is effective in the absence of final Treasury Regulations. Therefore, U.S. Holders of Etoiles Capital Class A ordinary shares that have not made a timely QEF Election or a mark-to-market election (as described below) may, pursuant to the proposed Treasury Regulations, be subject to taxation on the domestication to the extent their shares have a fair market value in excess of their tax basis. An Electing Shareholder (as described below) generally would not be subject to the adverse PFIC rules discussed above but rather would include annually in gross income its pro rata share of the ordinary earnings and net capital gain of Etoiles Capital, whether or not such amounts are actually distributed.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0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3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Impact of PFIC Rules on U.S. Holders</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Etoiles Capital Class A ordinary shares will depend on whether the U.S. Holder has made a timely and effective election to treat Etoiles Capital as a “qualified electing fund” under Section 1295 of the Code for the tax year that is the first year in the U.S. Holder’s holding period of Class A ordinary shares during which Etoiles Capital qualified as a PFIC (a “QEF Election”). A U.S. Holder’s ability to make a QEF Election with respect to Etoiles Capital is contingent upon, among other things, the provision by Etoiles Capital of a “PFIC Annual Information Statement” to such U.S. Holder. We do not intend to provide to a U.S. Holder such information as the IRS may require in order to enable the U.S. Holder to make and maintain a QEF election. Therefore, prospective investors should assume that a qualified electing fund election will not be available. A U.S. Holder of Class A ordinary shares that made a QEF Election may be referred to as an “Electing Shareholder” and a U.S. Holder of Class A ordinary shares that did not make a QEF Election may be referred to as a “Non-Electing Shareholder”.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made a valid QEF election effective for the first taxable year in the U.S. Holder’s holding period will not be subject to the general PFIC rules. As a result, such a U.S. Holder generally should not recognize gain or loss as a result of the domestication except to the extent described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as applicable.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not had a valid QEF election in effect for its entire holding period in its Class A ordinary shares (or a mark-to-market election as described below) may be subject to adverse tax consequences upon the sale of its Class A ordinary shares and upon the domestication (as described below). If such a U.S. Holder sells or is otherwise treated as disposing of its Class A ordinary shares, the entire amount of any gain realized upon the sale will be treated as an “excess distribution” made in the year of sale and as a consequence will generally be treated as ordinary income, and, to the extent allocated to years prior to the year of sale, will be subject to a special interest charge.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Class A ordinary shares may also depend on whether the U.S. Holder has made an election under Section 1296 of the Code (a “mark-to-market election”). Pursuant to a mark-to-market election, U.S. Holders who hold (directly or constructively) stock of a foreign corporation that is classified as a PFIC may annually elect to mark such stock to its market value if such stock is regularly traded on an established exchange. No assurance can be given that the Class A ordinary shares are considered to be regularly traded for purposes of the mark-to-market election or whether the other requirements of this election are satisfied. If such an election is available and has been made, such U.S. Holders will generally not be subject to the adverse taxation rules of the proposed Treasury Regulations promulgated under Section 1291(f) of the Code discussed herein. However, if the mark-to-market election is made by a Non-Electing Shareholder after the beginning of the holding period for the PFIC stock, then the adverse taxation rules of the proposed Treasury Regulations promulgated under Section 1291(f) will apply to certain dispositions of, distributions on and other amounts taxable with respect to Class A ordinary shares.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45</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are strongly urged to consult their tax advisors concerning the impact of the PFIC rules on the domestication, including, without limitation, whether a QEF Election, “deemed sale” election and/or “mark to market” election is available and whether a “deemed sale” election is available to the extent a timely QEF Election cannot be made with respect to their Class A ordinary shares and the consequences to them of any such election.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Shares of Etoiles Capital Nevada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be required to include in gross income as dividends the amount of any cash distribution paid with respect to shares of Etoiles Capital Nevada Common Stock, to the extent the distribution is paid out of Etoiles Capital Nevada’s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Common Stock. Any remaining excess will be treated as gain realized on the sale or other disposition of the shares of Common Stock and will be treated as described under “—</w:t>
      </w:r>
      <w:r>
        <w:rPr>
          <w:rFonts w:ascii="Times New Roman;Times;Serif" w:hAnsi="Times New Roman;Times;Serif"/>
          <w:b w:val="false"/>
          <w:i/>
          <w:caps w:val="false"/>
          <w:smallCaps w:val="false"/>
          <w:sz w:val="20"/>
        </w:rPr>
        <w:t>Sale, Exchange or Other Disposition of Shares of Etoiles Capital Nevada Common Stock</w:t>
      </w:r>
      <w:r>
        <w:rPr>
          <w:rFonts w:ascii="Times New Roman;Times;Serif" w:hAnsi="Times New Roman;Times;Serif"/>
          <w:b w:val="false"/>
          <w:i w:val="false"/>
          <w:caps w:val="false"/>
          <w:smallCaps w:val="false"/>
          <w:sz w:val="20"/>
        </w:rPr>
        <w:t>”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Etoiles Capital Nevada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and other requirements are met, dividends that Etoiles Capital Nevada pays to a non-corporate U.S. Holder may be taxed as “qualified dividend income” at the preferential tax rate accorded to long-term capital gains.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Exchange or Other Disposition of Shares of Etoiles Capital Nevada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or other taxable disposition of shares of Etoiles Capital Nevada Common Stock which, in general, would include a redemption of shares of Etoiles Capital Nevada that is treated as a sale of such securities, a U.S. Holder generally will recognize capital gain or loss. Any such capital gain or loss generally will be long-term capital gain or loss if the U.S. Holder’s holding period for the shares of Etoiles Capital Nevada Common Stock so disposed of exceeds one year. Long-term capital gains recognized by non-corporate U.S. Holders will be eligible to be taxed at preferential rates. The deductibility of capital losses is subject to limitations.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amount of gain or loss recognized by a U.S. Holder is an amount equal to the difference between (i) the sum of the amount of cash and the fair market value of any property received in such disposition and (ii) the U.S. Holder’s adjusted tax basis in its shares of Etoiles Capital Nevada Common Stock so disposed of. See “—</w:t>
      </w:r>
      <w:r>
        <w:rPr>
          <w:rFonts w:ascii="Times New Roman;Times;Serif" w:hAnsi="Times New Roman;Times;Serif"/>
          <w:b w:val="false"/>
          <w:i/>
          <w:caps w:val="false"/>
          <w:smallCaps w:val="false"/>
          <w:sz w:val="20"/>
        </w:rPr>
        <w:t>Effects of the Domestication on U.S. Holders</w:t>
      </w:r>
      <w:r>
        <w:rPr>
          <w:rFonts w:ascii="Times New Roman;Times;Serif" w:hAnsi="Times New Roman;Times;Serif"/>
          <w:b w:val="false"/>
          <w:i w:val="false"/>
          <w:caps w:val="false"/>
          <w:smallCaps w:val="false"/>
          <w:sz w:val="20"/>
        </w:rPr>
        <w:t>” above for discussion of a U.S. Holder’s adjusted tax basis in its shares of Etoiles Capital Nevada Common Stock following the domestication.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U.S. federal income tax considerations relating to the ownership and disposition of Etoiles Capital Nevada Common Stock by a non-U.S. Holder after the domestication. For purposes of this discussion, a non-U.S. Holder means a beneficial owner of Etoiles Capital Nevada Common Stock who or that is, for U.S. federal income tax purposes: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non-resident alien individual (other than certain former citizens and residents of the United States subject to U.S. tax as expatriates);</w:t>
            </w:r>
          </w:p>
        </w:tc>
      </w:tr>
    </w:tbl>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foreign corporation; or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or trust that is not a U.S. Holder;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made to a non-U.S. Holder on shares of Etoiles Capital Nevada Common Stock, to the extent paid out of Etoiles Capital Nevada’s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common stock of Etoiles Capital Nevada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Non-U.S. Holders—Gain on Sale, Taxable Exchange or Other Taxable Disposition of Common Stock</w:t>
      </w:r>
      <w:r>
        <w:rPr>
          <w:rFonts w:ascii="Times New Roman;Times;Serif" w:hAnsi="Times New Roman;Times;Serif"/>
          <w:b w:val="false"/>
          <w:i w:val="false"/>
          <w:caps w:val="false"/>
          <w:smallCaps w:val="false"/>
          <w:sz w:val="20"/>
        </w:rPr>
        <w:t>” below. Etoiles Capital does not expect to make any distributions to its shareholders in the near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46</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Etoiles Capital Nevada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will generally not be subject to U.S. federal income tax on gain realized on a sale or other disposition of Etoiles Capital Nevada Common Stock unless: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non-U.S. Holder is an individual who was present in the United States for 183 days or more in the taxable year of the disposition and certain other requirements are met, in which case any gain realized would generally be subject to a flat 30% U.S. federal income tax,</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caps w:val="false"/>
                <w:smallCaps w:val="false"/>
              </w:rPr>
            </w:pPr>
            <w:r>
              <w:rPr>
                <w:caps w:val="false"/>
                <w:smallCaps w:val="false"/>
              </w:rPr>
              <w:t> </w:t>
            </w:r>
          </w:p>
        </w:tc>
        <w:tc>
          <w:tcPr>
            <w:tcW w:w="98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a trade or business of the non-U.S. Holder in the United States, (and, if an applicable treaty so requires, is attributable to the conduct of trade or business through a permanent establishment or fixed base in the United States in which case the gain would be subject to U.S. federal income tax on a net income basis at the regular graduated rates and in the manner applicable to U.S. Holders and, if the non-U.S. Holder is a corporation, an additional “branch profits tax” may also apply), or</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caps w:val="false"/>
                <w:smallCaps w:val="false"/>
              </w:rPr>
            </w:pPr>
            <w:r>
              <w:rPr>
                <w:caps w:val="false"/>
                <w:smallCaps w:val="false"/>
              </w:rPr>
              <w:t> </w:t>
            </w:r>
          </w:p>
        </w:tc>
        <w:tc>
          <w:tcPr>
            <w:tcW w:w="98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Nevada is or has been a U.S. real property holding corporation at any time within the five-year period preceding the disposition or the non-U.S. Holder’s holding period, whichever period is shorter, and either (A) the common stock has ceased to be regularly traded on an established securities market or (B) the non-U.S. Holder has owned or is deemed to have owned, at any time within the five-year period preceding the disposition or the non-U.S. Holder’s holding period, whichever period is shorter, more than 5% of the common stock.</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Requirements and Backup Withholding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dividends on and the proceeds from a sale or other disposition of Etoiles Capital Nevada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Any amount of any backup withholding from a payment to a non-U.S. Holder will be allowed as a credit against such non-U.S. Holder’s U.S. federal income tax liability, if any, and may entitle such non-U.S. Holder to a refund, provided that the required information is furnished by such non-U.S. Holder to the IRS in a timely manner.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securities (including Etoiles Capital Class A ordinary shares and Etoiles Capital Nevada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Class A ordinary shares or Common Stock are held will affect the determination of whether such withholding is required. Similarly, dividends in respect of Class A ordinary shares or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All holders should consult their tax advisors regarding the possible implications of FATCA on their investment in Class A ordinary shares 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0" w:name="a_021"/>
      <w:bookmarkEnd w:id="20"/>
      <w:r>
        <w:rPr>
          <w:rFonts w:ascii="Times New Roman;Times;Serif" w:hAnsi="Times New Roman;Times;Serif"/>
          <w:b/>
          <w:i w:val="false"/>
          <w:caps w:val="false"/>
          <w:smallCaps w:val="false"/>
          <w:sz w:val="20"/>
        </w:rPr>
        <w:t>APPRAISAL RIGHTS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48</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center"/>
        <w:rPr>
          <w:rFonts w:ascii="Times New Roman;Times;Serif" w:hAnsi="Times New Roman;Times;Serif"/>
          <w:b/>
          <w:i w:val="false"/>
          <w:caps w:val="false"/>
          <w:smallCaps w:val="false"/>
          <w:sz w:val="20"/>
        </w:rPr>
      </w:pPr>
      <w:bookmarkStart w:id="21" w:name="a_022"/>
      <w:bookmarkEnd w:id="21"/>
      <w:r>
        <w:rPr>
          <w:rFonts w:ascii="Times New Roman;Times;Serif" w:hAnsi="Times New Roman;Times;Serif"/>
          <w:b/>
          <w:i w:val="false"/>
          <w:caps w:val="false"/>
          <w:smallCaps w:val="false"/>
          <w:sz w:val="20"/>
        </w:rPr>
        <w:t>STOCKHOLDER NOMINATIONS AND PROPOSALS OF ETOILES CAPITAL</w:t>
      </w:r>
    </w:p>
    <w:p>
      <w:pPr>
        <w:pStyle w:val="TextBody"/>
        <w:shd w:fill="FFFFFF" w:val="clear"/>
        <w:bidi w:val="0"/>
        <w:spacing w:before="0" w:after="0"/>
        <w:ind w:left="0" w:right="0" w:firstLine="40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below describes the procedures for stockholder nominations and proposals pursuant to the Existing Organizational Documents of Etoiles Capital. The following summary is qualified in its entirety by reference to the complete text of the Existing Organizational Documents, a copy of which is attached as Annex A to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is not effected, the Existing Organizational Documents will remain unchanged. To be considered for inclusion in the proxy statement relating to our 2026 annual general meeting of shareholders, we must receive shareholder proposals and nominations for director no later than [  ], 2026, or, if the date of the 2026 annual general meeting has been advanced or delayed by more than 30 days from the date of this year’s annual general meeting, then the deadline will be set by the Board and must be a reasonable time before Etoiles Capital begins to print and send its related proxy materials. Nominations and proposals also must satisfy other requirements set forth in the Existing Organizational Documents. Proposals that are not received in a timely manner will not be voted on at the 2026 annual general meeting. If a proposal is received on time, the proxies that management solicits for the meeting may still exercise discretionary voting authority on the proposal under circumstances consistent with the proxy rules of the SEC. All shareholder proposals should be marked for the attention of Attn: Hon Fai, TAM, Unit 03-04, 25/F, Cosco Tower, 183 Queen’s Road Central, Sheung Wan,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49</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2" w:name="a_023"/>
      <w:bookmarkEnd w:id="22"/>
      <w:r>
        <w:rPr>
          <w:rFonts w:ascii="Times New Roman;Times;Serif" w:hAnsi="Times New Roman;Times;Serif"/>
          <w:b/>
          <w:i w:val="false"/>
          <w:caps w:val="false"/>
          <w:smallCaps w:val="false"/>
          <w:sz w:val="20"/>
        </w:rPr>
        <w:t>STOCKHOLDER NOMINATIONS AND PROPOSALS OF ETOILES CAPITAL NEVADA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below describes the procedures for stockholder nominations and proposals pursuant to the Proposed Organizational Documents of Etoiles Capital Nevada. The following summary is qualified in its entirety by reference to the complete text of the Proposed Bylaws, a copy of which is attached as Annex C to this proxy statement/prospectus.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 Notice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is approved and the new charter proposal is approved and the domestication is to be effected, Etoiles Capital Nevada will be governed by the Proposed Organizational Documents. Nominations of persons for election to the board of directors of Etoiles Capital Nevada or the proposal of other business to be transacted by stockholders may only be made at a meeting properly called for such purpose and only (i) by or at the direction of the board of directors or any committee thereof or (ii) by a stockholder who (A) was a stockholder of record of Etoiles Capital Nevada when the notice is delivered to the secretary and at the time of the meeting, (B) is entitled to vote for the election of directors or such business, as applicable, at the meeting and (C) complies with the notice and other provisions of the Proposed Bylaws. Persons nominated for election to the board of directors of Etoiles Capital Nevada by stockholders in accordance with the applicable sections of the Proposed Bylaws are referred to as “Stockholder Nominees.” A stockholder nominating persons for election to the board of directors is referred to as the “Nominating Stockholder.”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Bylaws provide that, for nominations or business to be properly brought before an annual meeting by a stockholder, the stockholder must give timely notice thereof in writing to the secretary of Etoiles Capital Nevada and, in the case of proposed business, any such proposed business must constitute a proper matter for stockholder action. To be timely, the notice must be delivered personally or mailed to, and received at, the principal executive offices of Etoiles Capital Nevada, addressed to the secretary, by no earlier than one hundred and twenty (120) days and no later than ninety (90) days before the first anniversary of the date of the prior year’s annual meeting of stockholders;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stockholders, or announcement thereof, commence a new time period (or extend any time period) for the giving of a stockholder’s notice as described above.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 Notice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election of directors is included as business to be brought before a special meeting in Etoiles Capital Nevada’s notice of meeting, then nominations of persons for election to the board of directors at a special meeting of stockholders may be made (i) by or at the direction of the Board or any committee thereof or (ii) by a stockholder who (a) was a stockholder of record of Etoiles Capital Nevada when the notice required by the Proposed Bylaws is delivered to the secretary of Etoiles Capital Nevada and at the time of the meeting, (b) is entitled to vote for the election of directors at the meeting and (c) complies with the notice and other provisions of the Proposed Bylaws. The required notice, to be timely, must be delivered personally or mailed to and received at the executive offices of Etoiles Capital Nevada, addressed to the attention of the secretary, by no earlier than one hundred and twenty (120) days before and no later than the later of ninety (90) days before such special meeting and the tenth day after the day on which the notice of such special meeting was made by mail or public disclosure.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50</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Stockholder Notice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stockholder’s notice to the secretary must set forth (i) as to each person whom the stockholder proposes to nominate for election or re-election as a director: (A) Stockholder Information (as defined below) with respect to each Nominating Stockholder and Stockholder Associated Person (as defined in the Proposed Bylaws) (B) a representation to Etoiles Capital Nevada that each Nominating Stockholder is a holder of record of stock entitled to vote at the meeting and intends to appear in person or by proxy at the meeting to propose such nomination; (C) all information regarding each Stockholder Nominee or Stockholder Associated Person, in each case, that would be required to be disclosed in a solicitation of proxies subject to Section 14 of the Exchange Act and the rules and regulations promulgated thereunder, including without limitation, Rule 14a-19 under the Exchange Act (including a corresponding provision or successor rule); (D) the written consent of each Stockholder Nominee to being named in a proxy statement as a nominee and to serve if elected and a completed signed questionnaire, representation and agreement required by certain sections of the Proposed Bylaws; (E) a description of related party transactions and other information that would be required to be disclosed pursuant to federal securities law, including Rule 404 promulgated under Regulation S-K of the Securities Act (or any successor provision) if the Nominating Stockholder or the Stockholder Associated Person were the “registrant” for purposes of such rule and the Stockholder Nominee were a director or executive of such registrant; (F) Stockholder Information with respect to any stock or other interests of Etoiles Capital Nevada held by the Nominating Stockholder’s immediate family members; (G) all information that would be required to be set forth in a Schedule 13D filed pursuant to Rule 13d-1(a) or an amendment pursuant to Rule 13d-2(a) if such a statement were required to be filed under the Exchange Act and the rules and regulations promulgated thereunder by each Nominating Stockholder and each Stockholder Associated Person, or they may incorporate a Schedule 13D or amendment that has been filed under the Exchange Act by reference (G) a representation to Etoiles Capital Nevada as to whether each Nominating Stockholder intends (x) to deliver a proxy statement and form of proxy to holders of at least the percentage of Etoiles Capital Nevada’s outstanding capital stock required to approve the nomination or (y) otherwise to solicit proxies from stockholders in support of such nomination; (H) all other information that would be required to be filed with the SEC if the Nominating Stockholders and Stockholder Associated Persons were participants in a solicitation subject to Section 14 of the Exchange Act; and (I) a representation by the Nominating Stockholder as to the accuracy of the information set forth in the notice; and (ii) as to any other business that the stockholder proposes to bring before the meeting, (A) Stockholder Information of the stockholder proposing business (the “Proponent”) and any Stockholder Associated Person; (B) a representation to Etoiles Capital Nevada that each Proponent is a holder of record of stock of Etoiles Capital Nevada entitled to vote at the meeting and intends to appear in person or by proxy at the meeting to propose such stockholder business; (C) 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meeting; (D) any material interest of each Proponent and any Stockholder Associated Person in such business; (C) a representation to Etoiles Capital Nevada as to whether the Proponent intends (x) to deliver a proxy statement and form of proxy to holders of at least the percentage of Etoiles Capital Nevada’s outstanding capital stock required to approve or adopt such business or (y) otherwise to solicit proxies from the stockholders in support of such business; (E) all other information that would be required to be filed with the SEC if the Proponent or Stockholder Associated Persons were participants in a solicitation subject to Section 14 of the Exchange Act; and (F) a representation and covenant for the benefit of Etoiles Capital Nevada that the Proponents shall provide any other information reasonably requested by Etoiles Capital Nevada.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stockholder’s notice to the secretary must include the following information: (i) the name and record address of each Proponent, as they appear on Etoiles Capital Nevada’s books; (ii) the name and address of any Stockholder Associated Person; (iii)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relating to or in connection with such business between or among the Proponent, on the one hand, and any Stockholder Associated Person or any other person or entity (including their names),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or is held,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Etoiles Capital Nevada or with a value derived in whole or in part from the value or decrease in value of any class or series of stock of Etoiles Capital Nevada, whether or not such instrument or right shall be subject to settlement in the underlying class or series of stock of Etoiles Capital Nevada or otherwise (a “Derivative”), (E) a description in reasonable detail of any proxy (including revocable proxies), contract, arrangement, understanding or other relationship pursuant to which the Proponent or Stockholder Associated Person has a right to vote any shares of stock of Etoiles Capital Nevada, (F) any rights to dividends on the stock of Etoiles Capital Nevada owned beneficially by the Proponent or Stockholder Associated Person that are separated or separable from the underlying stock of Etoiles Capital Nevada, (G) any proportionate interest in stock of Etoiles Capital Nevada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Etoiles Capital Nevada or derivatives thereof, if any, as of the date of such notice (the information specified above in (i)-(iii) is referred to herein as “Stockholder Information”) provided however, the Proponent is only required to disclose any such agreement or understanding only to the extent known to, or to the extent such matters should be know after the exercise of reasonable diligence, by any Proponent.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51</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Proponents shall also provide any other information reasonably requested by Etoiles Capital Nevada within ten (10) business days after such request. In addition, the Proponent shall further update and supplement the information provided to Etoiles Capital Nevada in the notice of business or upon Etoiles Capital Nevada’s request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principal executive offices of Etoiles Capital Nevada, addressed to the secretary, by no later than five (5) business days after the record date for the meeting (in the case of the update and supplement required to be made as of the record date), and not later than two (2) business days before the date of the meeting (in the case of an update and supplement required to be made as of five (5) business days before the meeting and adjournment or postponement thereof).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stockholder nominations of directors for election to the Board, the Nominating Stockholders shall further update and supplement the information provided to Etoiles Capital Nevada in their notice or upon Etoiles Capital Nevada’s request as needed, so that such information shall be true and correct as of the record date for the meeting. Such update and supplement must be delivered personally or mailed to, and received at, the principal executive offices of Etoiles Capital Nevada, addressed to the secretary, by no later than ten (10) business days after the record date for the meeting. In addition, the Nominating Stockholder shall deliver to Etoiles Capital Nevada, not later than six (6) business days prior to the date of the meeting or any adjournment, recess, rescheduling or postponement thereof, reasonable evidence that it has complied with the requirements of Rule 14a-19.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 Eligibility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eligible to be a nominee for election or re-election as a director, a person must deliver (in accordance with the time periods prescribed for delivery of notice by the board of directors) to the secretary at the principal executive offices of Etoiles Capital Nevada, a written questionnaire with respect to the background and qualification of such person and the background of any other person or entity on whose behalf the nomination is being made and a written representation and agreement that such person (A) is not and will not become a party to (1) any agreement, arrangement or understanding with, and has not given any commitment or assurance to, any person or entity as to how such person will act or vote as a director on any issue or question (a “Voting Commitment”) that has not been disclosed to Etoiles Capital Nevada or (2) any Voting Commitment that could limit or interfere with such person’s ability to comply with such person’s fiduciary duties as a director under applicable law, (B) is not and will not become a party to any agreement, arrangement or understanding with any person or entity other than Etoiles Capital Nevada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Etoiles Capital Nevada that are applicable to directors.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stockholder (or a qualified representative of the stockholder) does not appear at the applicable stockholder meeting to present a nomination or other proposed business, such nomination will be disregarded or such proposed business will not be transacted, as the case may be, notwithstanding that proxies in respect of such vote may have been received by Etoiles Capital Nevada.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3" w:name="a_024"/>
      <w:bookmarkEnd w:id="23"/>
      <w:r>
        <w:rPr>
          <w:rFonts w:ascii="Times New Roman;Times;Serif" w:hAnsi="Times New Roman;Times;Serif"/>
          <w:b/>
          <w:i w:val="false"/>
          <w:caps w:val="false"/>
          <w:smallCaps w:val="false"/>
          <w:sz w:val="20"/>
        </w:rPr>
        <w:t>SHAREHOLDER COMMUNICATIONS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interested parties may communicate with the Board, any committee chairperson or the non-management directors as a group by writing to the board or committee chairperson in care of our corporate secretary. Following the domestication, such communications should be sent to the same address. Each communication will be forwarded, depending on the subject matter, to the Board, the appropriate committee chairperson or all non-management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4" w:name="a_025"/>
      <w:bookmarkEnd w:id="24"/>
      <w:r>
        <w:rPr>
          <w:rFonts w:ascii="Times New Roman;Times;Serif" w:hAnsi="Times New Roman;Times;Serif"/>
          <w:b/>
          <w:i w:val="false"/>
          <w:caps w:val="false"/>
          <w:smallCaps w:val="false"/>
          <w:sz w:val="20"/>
        </w:rPr>
        <w:t>LEGAL MATTERS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of U.S. federal securities laws. Fennemore Craig, P.C. have passed upon the validity of the securities of Etoiles Capital Nevada offered by this proxy statement/prospectus. Loeb &amp; Loeb LLP, tax counsel for Etoiles Capital, have passed upon certain U.S. federal income tax consequences of the domestication for Etoiles Capital.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5" w:name="a_026"/>
      <w:bookmarkEnd w:id="25"/>
      <w:r>
        <w:rPr>
          <w:rFonts w:ascii="Times New Roman;Times;Serif" w:hAnsi="Times New Roman;Times;Serif"/>
          <w:b/>
          <w:i w:val="false"/>
          <w:caps w:val="false"/>
          <w:smallCaps w:val="false"/>
          <w:sz w:val="20"/>
        </w:rPr>
        <w:t>EXPERTS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SRCO, C.P.A., Professional Corporation, independent registered public accounting firm, has audited our consolidated financial statements included in our Annual Report on Form 20-F for the year ended December 31, 2025 and 2024, as set forth in their report, which is incorporated by reference in this prospectus and elsewhere in the registration statement. Our financial statements are incorporated by reference in reliance on SRCO, C.P.A., Professional Corporation’s report, given 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6" w:name="a_027"/>
      <w:bookmarkEnd w:id="26"/>
      <w:r>
        <w:rPr>
          <w:rFonts w:ascii="Times New Roman;Times;Serif" w:hAnsi="Times New Roman;Times;Serif"/>
          <w:b/>
          <w:i w:val="false"/>
          <w:caps w:val="false"/>
          <w:smallCaps w:val="false"/>
          <w:sz w:val="20"/>
        </w:rPr>
        <w:t>WHERE YOU CAN FIND MORE INFORMATION; INCORPORATION BY REFERENCE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has filed a registration statement on Form S-4 to register the issuance of securities described elsewhere in this proxy statement/prospectus. This proxy statement/prospectus is a part of that registration statement.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files reports, proxy statements and other information with the SEC as required by the Exchange Act. You may access information on Etoiles Capital at the SEC web site containing reports, proxy statements and other information at: http://www.sec.gov.</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contained in this proxy statement/prospectus relating to Etoiles Capital has been supplied by Etoiles Capital.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 of Certain of Etoiles Capital’s Filings with the SEC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Etoiles Capital to “incorporate by reference” certain information filed with the SEC into this proxy statement/prospectus, which means that Etoiles Capital can disclose important information to you by referring you to other documents that Etoiles Capital has filed separately with the SEC. You should read any information incorporated by reference because it is an important part of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by reference the Etoiles Capital documents listed below (other than any portions of the documents not deemed to be filed), all of which have been previously filed by Etoiles Capital with the SEC:</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Etoiles Capital’s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2025, filed with the SEC on May 14,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Etoiles Capital’s Current Report on Form 6-K, filed with the SEC on </w:t>
            </w:r>
            <w:hyperlink r:id="rId3">
              <w:r>
                <w:rPr>
                  <w:rStyle w:val="InternetLink"/>
                  <w:rFonts w:ascii="Times New Roman;Times;Serif" w:hAnsi="Times New Roman;Times;Serif"/>
                  <w:b w:val="false"/>
                  <w:i w:val="false"/>
                  <w:caps w:val="false"/>
                  <w:smallCaps w:val="false"/>
                  <w:sz w:val="20"/>
                </w:rPr>
                <w:t>October 6, 2025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October 30,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November 4,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November 25,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December 30,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10, 2026</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Etoiles Capital’s ordinary shares contained in Etoiles Capital’s Registration Statement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August 7, 2025, including any amendment or report filed for the purpose of updating such description.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also incorporates by reference any additional filings that Etoiles Capital makes with the SEC under Section 13(a), 13(c), 14 or 15(d) of the Exchange Act after the date of this proxy statement/prospectus and prior to the date of the annual meeting, and thereafter until the consummation of the domestication (other than those documents or the portions of those documents furnished, including pursuant to Items 2.02 or 7.01 of any Current Report on Form 8-K or exhibits filed under Item 9.01 relating to those Items, unless expressly stated otherwise therein). Any statement contained in a document incorporated by reference into this proxy statement/prospectus will be deemed to be modified or superseded to the extent that a statement contained in any other subsequently filed document that is also, or is deemed to be, incorporated by reference into this proxy statement/prospectus conflicts with, negates, modifies or supersedes that statement. Any statement that is modified or superseded will not constitute a part of this proxy statement/prospectus, except as modified or superseded.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7" w:name="a_028"/>
      <w:bookmarkEnd w:id="27"/>
      <w:r>
        <w:rPr>
          <w:rFonts w:ascii="Times New Roman;Times;Serif" w:hAnsi="Times New Roman;Times;Serif"/>
          <w:b/>
          <w:i w:val="false"/>
          <w:caps w:val="false"/>
          <w:smallCaps w:val="false"/>
          <w:sz w:val="20"/>
        </w:rPr>
        <w:t xml:space="preserve">CODE OF CONDUCT AND ETHICS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conduct and ethics that applies to all of our directors, officers and employees, including our principal executive officer, principal financial officer and principal accounting officer, which is available on our website at https://ir.etoilesgroup.com/corporate-governance/documents-charters. Our code of conduct is a “code of ethics,” as defined in Item 406(b) of Regulation S-K.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Listing Rules.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8" w:name="a_029"/>
      <w:bookmarkEnd w:id="28"/>
      <w:r>
        <w:rPr>
          <w:rFonts w:ascii="Times New Roman;Times;Serif" w:hAnsi="Times New Roman;Times;Serif"/>
          <w:b/>
          <w:i w:val="false"/>
          <w:caps w:val="false"/>
          <w:smallCaps w:val="false"/>
          <w:sz w:val="20"/>
        </w:rPr>
        <w:t>OTHER MATTERS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business which will be presented to the annual general meeting. If any other business is properly brought before the annual general meeting, proxies will be voted in accordance with the judgment of the persons named therein.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425" w:type="dxa"/>
        <w:jc w:val="left"/>
        <w:tblInd w:w="0" w:type="dxa"/>
        <w:tblLayout w:type="fixed"/>
        <w:tblCellMar>
          <w:top w:w="0" w:type="dxa"/>
          <w:left w:w="0" w:type="dxa"/>
          <w:bottom w:w="0" w:type="dxa"/>
          <w:right w:w="0" w:type="dxa"/>
        </w:tblCellMar>
      </w:tblPr>
      <w:tblGrid>
        <w:gridCol w:w="1025"/>
        <w:gridCol w:w="95"/>
        <w:gridCol w:w="7790"/>
        <w:gridCol w:w="515"/>
      </w:tblGrid>
      <w:tr>
        <w:trPr/>
        <w:tc>
          <w:tcPr>
            <w:tcW w:w="1025" w:type="dxa"/>
            <w:tcBorders/>
            <w:shd w:fill="CCEEFF" w:val="clear"/>
            <w:vAlign w:val="center"/>
          </w:tcPr>
          <w:p>
            <w:pPr>
              <w:pStyle w:val="TableContents"/>
              <w:bidi w:val="0"/>
              <w:spacing w:before="0" w:after="283"/>
              <w:jc w:val="left"/>
              <w:rPr/>
            </w:pPr>
            <w:r>
              <w:rPr/>
              <w:t>Annex A</w:t>
            </w:r>
          </w:p>
        </w:tc>
        <w:tc>
          <w:tcPr>
            <w:tcW w:w="95" w:type="dxa"/>
            <w:tcBorders/>
            <w:shd w:fill="CCEEFF" w:val="clear"/>
            <w:vAlign w:val="center"/>
          </w:tcPr>
          <w:p>
            <w:pPr>
              <w:pStyle w:val="TableContents"/>
              <w:bidi w:val="0"/>
              <w:spacing w:before="0" w:after="283"/>
              <w:jc w:val="center"/>
              <w:rPr/>
            </w:pPr>
            <w:r>
              <w:rPr/>
              <w:t>-</w:t>
            </w:r>
          </w:p>
        </w:tc>
        <w:tc>
          <w:tcPr>
            <w:tcW w:w="7790" w:type="dxa"/>
            <w:tcBorders/>
            <w:shd w:fill="CCEEFF" w:val="clear"/>
            <w:vAlign w:val="center"/>
          </w:tcPr>
          <w:p>
            <w:pPr>
              <w:pStyle w:val="TableContents"/>
              <w:bidi w:val="0"/>
              <w:spacing w:before="0" w:after="283"/>
              <w:jc w:val="left"/>
              <w:rPr/>
            </w:pPr>
            <w:hyperlink w:anchor="b_001">
              <w:r>
                <w:rPr>
                  <w:rStyle w:val="InternetLink"/>
                </w:rPr>
                <w:t>Existing Organizational Documents</w:t>
              </w:r>
            </w:hyperlink>
          </w:p>
        </w:tc>
        <w:tc>
          <w:tcPr>
            <w:tcW w:w="515" w:type="dxa"/>
            <w:tcBorders/>
            <w:shd w:fill="CCEEFF" w:val="clear"/>
            <w:vAlign w:val="center"/>
          </w:tcPr>
          <w:p>
            <w:pPr>
              <w:pStyle w:val="TableContents"/>
              <w:bidi w:val="0"/>
              <w:spacing w:before="0" w:after="283"/>
              <w:jc w:val="center"/>
              <w:rPr/>
            </w:pPr>
            <w:r>
              <w:rPr/>
              <w:t>A-1</w:t>
            </w:r>
          </w:p>
        </w:tc>
      </w:tr>
      <w:tr>
        <w:trPr/>
        <w:tc>
          <w:tcPr>
            <w:tcW w:w="1025" w:type="dxa"/>
            <w:tcBorders/>
            <w:shd w:fill="FFFFFF" w:val="clear"/>
            <w:vAlign w:val="center"/>
          </w:tcPr>
          <w:p>
            <w:pPr>
              <w:pStyle w:val="TableContents"/>
              <w:bidi w:val="0"/>
              <w:spacing w:before="0" w:after="283"/>
              <w:jc w:val="left"/>
              <w:rPr/>
            </w:pPr>
            <w:r>
              <w:rPr/>
              <w:t>Annex B1</w:t>
            </w:r>
          </w:p>
        </w:tc>
        <w:tc>
          <w:tcPr>
            <w:tcW w:w="95" w:type="dxa"/>
            <w:tcBorders/>
            <w:shd w:fill="FFFFFF" w:val="clear"/>
            <w:vAlign w:val="center"/>
          </w:tcPr>
          <w:p>
            <w:pPr>
              <w:pStyle w:val="TableContents"/>
              <w:bidi w:val="0"/>
              <w:spacing w:before="0" w:after="283"/>
              <w:jc w:val="center"/>
              <w:rPr/>
            </w:pPr>
            <w:r>
              <w:rPr/>
              <w:t>-</w:t>
            </w:r>
          </w:p>
        </w:tc>
        <w:tc>
          <w:tcPr>
            <w:tcW w:w="7790" w:type="dxa"/>
            <w:tcBorders/>
            <w:shd w:fill="FFFFFF" w:val="clear"/>
            <w:vAlign w:val="center"/>
          </w:tcPr>
          <w:p>
            <w:pPr>
              <w:pStyle w:val="TableContents"/>
              <w:bidi w:val="0"/>
              <w:spacing w:before="0" w:after="283"/>
              <w:jc w:val="left"/>
              <w:rPr/>
            </w:pPr>
            <w:hyperlink w:anchor="b_002">
              <w:r>
                <w:rPr>
                  <w:rStyle w:val="InternetLink"/>
                </w:rPr>
                <w:t>Form of Certificate of Incorporation of Etoiles Capital Nevada</w:t>
              </w:r>
            </w:hyperlink>
          </w:p>
        </w:tc>
        <w:tc>
          <w:tcPr>
            <w:tcW w:w="515" w:type="dxa"/>
            <w:tcBorders/>
            <w:shd w:fill="FFFFFF" w:val="clear"/>
            <w:vAlign w:val="center"/>
          </w:tcPr>
          <w:p>
            <w:pPr>
              <w:pStyle w:val="TableContents"/>
              <w:bidi w:val="0"/>
              <w:spacing w:before="0" w:after="283"/>
              <w:jc w:val="center"/>
              <w:rPr/>
            </w:pPr>
            <w:r>
              <w:rPr/>
              <w:t>B1-1</w:t>
            </w:r>
          </w:p>
        </w:tc>
      </w:tr>
      <w:tr>
        <w:trPr/>
        <w:tc>
          <w:tcPr>
            <w:tcW w:w="1025" w:type="dxa"/>
            <w:tcBorders/>
            <w:shd w:fill="CCEEFF" w:val="clear"/>
            <w:vAlign w:val="center"/>
          </w:tcPr>
          <w:p>
            <w:pPr>
              <w:pStyle w:val="TableContents"/>
              <w:bidi w:val="0"/>
              <w:spacing w:before="0" w:after="283"/>
              <w:jc w:val="left"/>
              <w:rPr/>
            </w:pPr>
            <w:r>
              <w:rPr/>
              <w:t>Annex B2</w:t>
            </w:r>
          </w:p>
        </w:tc>
        <w:tc>
          <w:tcPr>
            <w:tcW w:w="95" w:type="dxa"/>
            <w:tcBorders/>
            <w:shd w:fill="CCEEFF" w:val="clear"/>
            <w:vAlign w:val="center"/>
          </w:tcPr>
          <w:p>
            <w:pPr>
              <w:pStyle w:val="TableContents"/>
              <w:bidi w:val="0"/>
              <w:spacing w:before="0" w:after="283"/>
              <w:jc w:val="center"/>
              <w:rPr/>
            </w:pPr>
            <w:r>
              <w:rPr/>
              <w:t>-</w:t>
            </w:r>
          </w:p>
        </w:tc>
        <w:tc>
          <w:tcPr>
            <w:tcW w:w="7790" w:type="dxa"/>
            <w:tcBorders/>
            <w:shd w:fill="CCEEFF" w:val="clear"/>
            <w:vAlign w:val="center"/>
          </w:tcPr>
          <w:p>
            <w:pPr>
              <w:pStyle w:val="TableContents"/>
              <w:bidi w:val="0"/>
              <w:spacing w:before="0" w:after="283"/>
              <w:jc w:val="left"/>
              <w:rPr/>
            </w:pPr>
            <w:hyperlink w:anchor="b_005">
              <w:r>
                <w:rPr>
                  <w:rStyle w:val="InternetLink"/>
                </w:rPr>
                <w:t>Addendum to the Form of Certificate of Incorporation of Etoiles Capital Nevada</w:t>
              </w:r>
            </w:hyperlink>
          </w:p>
        </w:tc>
        <w:tc>
          <w:tcPr>
            <w:tcW w:w="515" w:type="dxa"/>
            <w:tcBorders/>
            <w:shd w:fill="CCEEFF" w:val="clear"/>
            <w:vAlign w:val="center"/>
          </w:tcPr>
          <w:p>
            <w:pPr>
              <w:pStyle w:val="TableContents"/>
              <w:bidi w:val="0"/>
              <w:spacing w:before="0" w:after="283"/>
              <w:jc w:val="center"/>
              <w:rPr/>
            </w:pPr>
            <w:r>
              <w:rPr/>
              <w:t>B2-1</w:t>
            </w:r>
          </w:p>
        </w:tc>
      </w:tr>
      <w:tr>
        <w:trPr/>
        <w:tc>
          <w:tcPr>
            <w:tcW w:w="1025" w:type="dxa"/>
            <w:tcBorders/>
            <w:shd w:fill="FFFFFF" w:val="clear"/>
            <w:vAlign w:val="center"/>
          </w:tcPr>
          <w:p>
            <w:pPr>
              <w:pStyle w:val="TableContents"/>
              <w:bidi w:val="0"/>
              <w:spacing w:before="0" w:after="283"/>
              <w:jc w:val="left"/>
              <w:rPr/>
            </w:pPr>
            <w:r>
              <w:rPr/>
              <w:t>Annex C</w:t>
            </w:r>
          </w:p>
        </w:tc>
        <w:tc>
          <w:tcPr>
            <w:tcW w:w="95" w:type="dxa"/>
            <w:tcBorders/>
            <w:shd w:fill="FFFFFF" w:val="clear"/>
            <w:vAlign w:val="center"/>
          </w:tcPr>
          <w:p>
            <w:pPr>
              <w:pStyle w:val="TableContents"/>
              <w:bidi w:val="0"/>
              <w:spacing w:before="0" w:after="283"/>
              <w:jc w:val="center"/>
              <w:rPr/>
            </w:pPr>
            <w:r>
              <w:rPr/>
              <w:t>-</w:t>
            </w:r>
          </w:p>
        </w:tc>
        <w:tc>
          <w:tcPr>
            <w:tcW w:w="7790" w:type="dxa"/>
            <w:tcBorders/>
            <w:shd w:fill="FFFFFF" w:val="clear"/>
            <w:vAlign w:val="center"/>
          </w:tcPr>
          <w:p>
            <w:pPr>
              <w:pStyle w:val="TableContents"/>
              <w:bidi w:val="0"/>
              <w:spacing w:before="0" w:after="283"/>
              <w:jc w:val="left"/>
              <w:rPr/>
            </w:pPr>
            <w:hyperlink w:anchor="b_003">
              <w:r>
                <w:rPr>
                  <w:rStyle w:val="InternetLink"/>
                </w:rPr>
                <w:t>Form of Bylaws of Etoiles Capital Nevada</w:t>
              </w:r>
            </w:hyperlink>
          </w:p>
        </w:tc>
        <w:tc>
          <w:tcPr>
            <w:tcW w:w="515" w:type="dxa"/>
            <w:tcBorders/>
            <w:shd w:fill="FFFFFF" w:val="clear"/>
            <w:vAlign w:val="center"/>
          </w:tcPr>
          <w:p>
            <w:pPr>
              <w:pStyle w:val="TableContents"/>
              <w:bidi w:val="0"/>
              <w:spacing w:before="0" w:after="283"/>
              <w:jc w:val="center"/>
              <w:rPr/>
            </w:pPr>
            <w:r>
              <w:rPr/>
              <w:t>C-1</w:t>
            </w:r>
          </w:p>
        </w:tc>
      </w:tr>
      <w:tr>
        <w:trPr/>
        <w:tc>
          <w:tcPr>
            <w:tcW w:w="1025" w:type="dxa"/>
            <w:tcBorders/>
            <w:shd w:fill="CCEEFF" w:val="clear"/>
            <w:vAlign w:val="center"/>
          </w:tcPr>
          <w:p>
            <w:pPr>
              <w:pStyle w:val="TableContents"/>
              <w:bidi w:val="0"/>
              <w:spacing w:before="0" w:after="283"/>
              <w:jc w:val="left"/>
              <w:rPr/>
            </w:pPr>
            <w:r>
              <w:rPr/>
              <w:t>Annex D </w:t>
            </w:r>
          </w:p>
        </w:tc>
        <w:tc>
          <w:tcPr>
            <w:tcW w:w="95" w:type="dxa"/>
            <w:tcBorders/>
            <w:shd w:fill="CCEEFF" w:val="clear"/>
            <w:vAlign w:val="center"/>
          </w:tcPr>
          <w:p>
            <w:pPr>
              <w:pStyle w:val="TableContents"/>
              <w:bidi w:val="0"/>
              <w:spacing w:before="0" w:after="283"/>
              <w:jc w:val="center"/>
              <w:rPr/>
            </w:pPr>
            <w:r>
              <w:rPr/>
              <w:t>-</w:t>
            </w:r>
          </w:p>
        </w:tc>
        <w:tc>
          <w:tcPr>
            <w:tcW w:w="7790" w:type="dxa"/>
            <w:tcBorders/>
            <w:shd w:fill="CCEEFF" w:val="clear"/>
            <w:vAlign w:val="center"/>
          </w:tcPr>
          <w:p>
            <w:pPr>
              <w:pStyle w:val="TableContents"/>
              <w:bidi w:val="0"/>
              <w:spacing w:before="0" w:after="283"/>
              <w:jc w:val="left"/>
              <w:rPr/>
            </w:pPr>
            <w:hyperlink w:anchor="b_006">
              <w:r>
                <w:rPr>
                  <w:rStyle w:val="InternetLink"/>
                </w:rPr>
                <w:t>Form of Certificate of Corporate Domestication of Etoiles Capital Group Co., Ltd.</w:t>
              </w:r>
            </w:hyperlink>
          </w:p>
        </w:tc>
        <w:tc>
          <w:tcPr>
            <w:tcW w:w="515" w:type="dxa"/>
            <w:tcBorders/>
            <w:shd w:fill="CCEEFF" w:val="clear"/>
            <w:vAlign w:val="center"/>
          </w:tcPr>
          <w:p>
            <w:pPr>
              <w:pStyle w:val="TableContents"/>
              <w:bidi w:val="0"/>
              <w:spacing w:before="0" w:after="283"/>
              <w:jc w:val="center"/>
              <w:rPr/>
            </w:pPr>
            <w:r>
              <w:rPr/>
              <w:t>D-1</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58</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9" w:name="b_001"/>
      <w:bookmarkEnd w:id="29"/>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MEMORANDUM OF ASSOCIATION</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99" w:right="0" w:hanging="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3432" w:right="0" w:firstLine="2"/>
        <w:jc w:val="center"/>
        <w:rPr>
          <w:caps w:val="false"/>
          <w:smallCaps w:val="false"/>
        </w:rPr>
      </w:pPr>
      <w:r>
        <w:rPr>
          <w:caps w:val="false"/>
          <w:smallCaps w:val="false"/>
        </w:rPr>
        <w:t> </w:t>
      </w:r>
    </w:p>
    <w:p>
      <w:pPr>
        <w:pStyle w:val="TextBody"/>
        <w:bidi w:val="0"/>
        <w:spacing w:before="0" w:after="0"/>
        <w:ind w:left="3432" w:right="0" w:firstLine="2"/>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432"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25"/>
        <w:gridCol w:w="48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Company is Thrive Capital Group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registered office will be situated at the office of Ogier Global (Cayman) Limited, 89 Nexus Way, Camana Bay, Grand Cayman, KY1-9009, Cayman Islands, or at such other place in the Cayman Islands as the directors may at any time decide.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of a bank or trust company without being licensed in that behalf under the Banks and Trust Companies Act (Revised);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business from within the Cayman Islands or the business of an insurance manager, agent, sub-agent or broker without being licensed in that behalf under the Insurance Act (Revised);or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of company management without being licensed in that behalf under the Companies Management Act (Revised).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a company limited by shares and accordingly the liability of each member is limited to the amount (if any) unpaid on that member’s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capital of the Company is US$50,000 divided into 450,000,000 Class A Ordinary Shares of par value US$0.0001 each and 50,000,000 Class B Ordinary Shares of par value US$0.0001 each. Subject to the Companies Act (Revised) and the Company’s articles of association, the Company has power to do any one or more of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3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redeem or repurchase any of its shares;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245"/>
        <w:gridCol w:w="26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increase or reduce its capital;</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230"/>
        <w:gridCol w:w="65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00"/>
        <w:gridCol w:w="7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260"/>
        <w:gridCol w:w="326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45"/>
        <w:gridCol w:w="61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99" w:right="0" w:hanging="0"/>
        <w:jc w:val="center"/>
        <w:rPr>
          <w:caps w:val="false"/>
          <w:smallCaps w:val="false"/>
        </w:rPr>
      </w:pPr>
      <w:r>
        <w:rPr>
          <w:caps w:val="false"/>
          <w:smallCaps w:val="false"/>
        </w:rPr>
        <w:t> </w:t>
      </w:r>
    </w:p>
    <w:p>
      <w:pPr>
        <w:pStyle w:val="TextBody"/>
        <w:bidi w:val="0"/>
        <w:spacing w:before="0" w:after="0"/>
        <w:ind w:left="99"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9"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99" w:right="0" w:hanging="0"/>
        <w:jc w:val="center"/>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213"/>
        <w:gridCol w:w="6631"/>
        <w:gridCol w:w="245"/>
      </w:tblGrid>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Exclusion of Table A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213" w:type="dxa"/>
            <w:tcBorders/>
            <w:shd w:fill="CCEEFF" w:val="clear"/>
            <w:vAlign w:val="center"/>
          </w:tcPr>
          <w:p>
            <w:pPr>
              <w:pStyle w:val="TableContents"/>
              <w:bidi w:val="0"/>
              <w:spacing w:before="0" w:after="283"/>
              <w:jc w:val="left"/>
              <w:rPr/>
            </w:pPr>
            <w:r>
              <w:rPr/>
              <w:t> </w:t>
            </w:r>
          </w:p>
        </w:tc>
        <w:tc>
          <w:tcPr>
            <w:tcW w:w="66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6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Shares and options, with or without special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fractions of a Share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commissions and brokerage fees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Trusts not recognised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vary class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new Share issue on existing class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bearer Shares or warrants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attaching to Treasury Shares and related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of Members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Return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of share certificates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Renewal of lost or damaged share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Lien on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and scope of lien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sell Shares to satisfy lien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to execute instrument of transfer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sale of Shares to satisfy lien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proceeds of sale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13" w:type="dxa"/>
            <w:tcBorders/>
            <w:shd w:fill="CCEEFF" w:val="clear"/>
            <w:vAlign w:val="center"/>
          </w:tcPr>
          <w:p>
            <w:pPr>
              <w:pStyle w:val="TableContents"/>
              <w:bidi w:val="0"/>
              <w:spacing w:before="0" w:after="283"/>
              <w:jc w:val="left"/>
              <w:rPr/>
            </w:pPr>
            <w:r>
              <w:rPr/>
              <w:t> </w:t>
            </w:r>
          </w:p>
        </w:tc>
        <w:tc>
          <w:tcPr>
            <w:tcW w:w="66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66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Calls on Shares and forfeiture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calls and effect of calls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when call made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unpaid calls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Deemed calls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accept early payment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different arrangements at time of issue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 or surrender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Disposal of forfeited or surrendered Share and power to cancel forfeiture or surrender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forfeiture or surrender on former Member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forfeiture or surrender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forfeited or surrendered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Transfer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refuse registration for Shares not listed on a Designated Stock Exchange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Suspension of transfers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retain instrument of transfer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refusal to register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926"/>
        <w:gridCol w:w="5243"/>
        <w:gridCol w:w="245"/>
      </w:tblGrid>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Transmission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18</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on death of a Member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of a Share following death or bankruptcy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person entitled to a Share following death or bankruptcy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Increasing, consolidating, converting, dividing and cancelling share capital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Dealing with fractions resulting from consolidation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Reducing share capital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26" w:type="dxa"/>
            <w:tcBorders/>
            <w:shd w:fill="CCEEFF" w:val="clear"/>
            <w:vAlign w:val="center"/>
          </w:tcPr>
          <w:p>
            <w:pPr>
              <w:pStyle w:val="TableContents"/>
              <w:bidi w:val="0"/>
              <w:spacing w:before="0" w:after="283"/>
              <w:jc w:val="left"/>
              <w:rPr/>
            </w:pPr>
            <w:r>
              <w:rPr/>
              <w:t> </w:t>
            </w:r>
          </w:p>
        </w:tc>
        <w:tc>
          <w:tcPr>
            <w:tcW w:w="524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2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524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redeemable Shares and to purchase own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for redemption or purchase in cash or in specie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redemption or purchase of a Share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and extraordinary general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call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Content of notice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 of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receive notice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Accidental omission to give notice or non-receipt of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Proceedings at meetings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24</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Lack of quorum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a Director to attend and speak</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Accommodation of Members at Virtual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w:t>
            </w:r>
          </w:p>
        </w:tc>
        <w:tc>
          <w:tcPr>
            <w:tcW w:w="524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Adjournment, postponement and cancellation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voting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Taking of a poll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Chairman’s casting vote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Sole-Member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vote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of corporate Members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with mental disorder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to admissibility of votes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proxy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and when proxy is to be delivered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by proxy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Appointment, disqualification and removal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age limit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shareholding qualification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Board’s power to appoint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the office of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bl>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504" w:type="dxa"/>
        <w:jc w:val="left"/>
        <w:tblInd w:w="0" w:type="dxa"/>
        <w:tblLayout w:type="fixed"/>
        <w:tblCellMar>
          <w:top w:w="0" w:type="dxa"/>
          <w:left w:w="0" w:type="dxa"/>
          <w:bottom w:w="0" w:type="dxa"/>
          <w:right w:w="0" w:type="dxa"/>
        </w:tblCellMar>
      </w:tblPr>
      <w:tblGrid>
        <w:gridCol w:w="993"/>
        <w:gridCol w:w="5266"/>
        <w:gridCol w:w="245"/>
      </w:tblGrid>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Alternate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removal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alternate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ceases when the appointor ceases to be a Director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alternate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the Director making the appointment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Powers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below the minimum number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office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for employees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voting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information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38</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delegate any of the Directors’ powers to a committee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boards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agent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attorney or authorised signatory of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Powers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of Directors’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Calling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technology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or deputy to preside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Recording of dissent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acts of Directors in spite of formal defect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42</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43</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43</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Auditors</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dividends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of dividends by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interim dividends and declaration of final dividends by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Apportionment of dividends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 off</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other than in cash</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payments may be made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or other monies not to bear interest in absence of special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unable to be paid or unclaimed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A-iii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511"/>
        <w:gridCol w:w="7473"/>
        <w:gridCol w:w="245"/>
      </w:tblGrid>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47</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Capitalisation of profits or of any share premium account or capital redemption reserve;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Applying an amount for the benefit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to maintain share premium account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Debits to share premium account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Seal</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Duplicate seal</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and how seal is to be used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seal is adopted or used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allow non-manual signatures and facsimile printing of seal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execution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communications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authorised to give 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written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Giving notice to a deceased or bankrupt Member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giving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Authentication of Electronic Records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54</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documents sent by Members by Electronic means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signing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55</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assets in specie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obligation to accept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of Memorandum and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change name or amend Memorandum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amend these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A-iv</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9"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25"/>
        <w:gridCol w:w="44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Definitions, interpretation and exclusion of Table 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75"/>
        <w:gridCol w:w="40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mother-in-law and father- 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“control”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30"/>
        <w:gridCol w:w="49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45"/>
        <w:gridCol w:w="38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Ordinary Share </w:t>
      </w:r>
      <w:r>
        <w:rPr>
          <w:rFonts w:ascii="Times New Roman;Times;Serif" w:hAnsi="Times New Roman;Times;Serif"/>
          <w:b w:val="false"/>
          <w:i w:val="false"/>
          <w:caps w:val="false"/>
          <w:smallCaps w:val="false"/>
          <w:sz w:val="20"/>
        </w:rPr>
        <w:t>means the class A ordinary shares of US$0.0001 par value each of the Company, which have the rights set forth in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Ordinary Share </w:t>
      </w:r>
      <w:r>
        <w:rPr>
          <w:rFonts w:ascii="Times New Roman;Times;Serif" w:hAnsi="Times New Roman;Times;Serif"/>
          <w:b w:val="false"/>
          <w:i w:val="false"/>
          <w:caps w:val="false"/>
          <w:smallCaps w:val="false"/>
          <w:sz w:val="20"/>
        </w:rPr>
        <w:t>means the class B ordinary shares of US$0.0001 par value each of the Company, which have the rights set forth in these Articles;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of calendar days excluding:</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230"/>
        <w:gridCol w:w="56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calendar day when the notice is given or deemed to be given; and</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245"/>
        <w:gridCol w:w="55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calendar day for which it is given or on which it is to take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Ordinary Shares elects to convert the number of Class B Ordinary Shares specified therein pursuant to Article 2.9(a);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Ordinary Shares, such number of Class A Ordinary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Ordinary Shares to Class A Ordinary Shares means, at any time, on a [one-to-one]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Ordinary Shares in issue into a greater or lesser number of shares occurring after the original filing of the Articles without a proportionate and corresponding subdivision, combination or similar reclassification or recapitalisation of the Class B Ordinary Shares in issue;</w:t>
      </w:r>
    </w:p>
    <w:p>
      <w:pPr>
        <w:pStyle w:val="TextBody"/>
        <w:bidi w:val="0"/>
        <w:spacing w:before="0" w:after="0"/>
        <w:ind w:left="720" w:right="0" w:hanging="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Right</w:t>
      </w:r>
      <w:r>
        <w:rPr>
          <w:rFonts w:ascii="Times New Roman;Times;Serif" w:hAnsi="Times New Roman;Times;Serif"/>
          <w:b w:val="false"/>
          <w:i w:val="false"/>
          <w:caps w:val="false"/>
          <w:smallCaps w:val="false"/>
          <w:sz w:val="20"/>
        </w:rPr>
        <w:t xml:space="preserve"> in respect of a holder of Class B Ordinary Shares, subject to the provisions of these Articles and to any applicable fiscal or other laws or regulations including the Act, to convert all or any of its Class B Ordinary Shares, into the Conversion Number of Class A Ordinary Shares in its discretion;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the Nasdaq Capital Market in the United States of America for so long as any class of the Company’s Shares are there listed and any other stock exchange on which any class of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Communication Facilities </w:t>
      </w:r>
      <w:r>
        <w:rPr>
          <w:rFonts w:ascii="Times New Roman;Times;Serif" w:hAnsi="Times New Roman;Times;Serif"/>
          <w:b w:val="false"/>
          <w:i w:val="false"/>
          <w:caps w:val="false"/>
          <w:smallCaps w:val="false"/>
          <w:sz w:val="20"/>
        </w:rPr>
        <w:t>means video, video-conferencing, internet or online conferencing applications, telephone or tele-conferencing and/or any other video- 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without par value, means that the agreed issue price for that Share has been fully paid or credited as paid in money or money’s worth;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meeting </w:t>
      </w:r>
      <w:r>
        <w:rPr>
          <w:rFonts w:ascii="Times New Roman;Times;Serif" w:hAnsi="Times New Roman;Times;Serif"/>
          <w:b w:val="false"/>
          <w:i w:val="false"/>
          <w:caps w:val="false"/>
          <w:smallCaps w:val="false"/>
          <w:sz w:val="20"/>
        </w:rPr>
        <w:t>means a general meeting of the Company duly constituted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the votes by Members who (being entitled to do so) vote in person or by proxy or, in the case of corporations, by their duly authorised representatives, at that meeting. The expression includes a written resolution signed by the requisite majority in accordance with Article 11.14;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without par value, means that the agreed issue price for that Share has not been fully paid or credited as paid in money or money’s worth;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share capital of the Company and the expression:</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 (except where a distinction between shares and stock is expressed or implied); and</w:t>
            </w:r>
          </w:p>
        </w:tc>
      </w:tr>
    </w:tbl>
    <w:p>
      <w:pPr>
        <w:pStyle w:val="TextBody"/>
        <w:bidi w:val="0"/>
        <w:spacing w:before="0" w:after="0"/>
        <w:ind w:left="1558" w:right="0" w:hanging="709"/>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245"/>
        <w:gridCol w:w="49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context permits, also includes a fraction of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the votes by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 and</w:t>
      </w:r>
    </w:p>
    <w:p>
      <w:pPr>
        <w:pStyle w:val="TextBody"/>
        <w:bidi w:val="0"/>
        <w:spacing w:before="0" w:after="0"/>
        <w:ind w:left="720" w:right="0" w:hanging="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w:t>
      </w:r>
      <w:r>
        <w:rPr>
          <w:rFonts w:ascii="Times New Roman;Times;Serif" w:hAnsi="Times New Roman;Times;Serif"/>
          <w:b w:val="false"/>
          <w:i w:val="false"/>
          <w:caps w:val="false"/>
          <w:smallCaps w:val="false"/>
          <w:sz w:val="20"/>
        </w:rPr>
        <w:t>means any general meeting of the Members at which the Members (and any other permitted participants of such meeting, including without limitation the chairman of the meeting and any Directors) are permitted to attend and participate solely by means of Electronic Communication Facilities.</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75"/>
        <w:gridCol w:w="86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interpretation of these Articles, the following provisions apply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reference in these Articles to a statute is a reference to a statute of the Cayman Islands as known by its short title, and includes: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200"/>
        <w:gridCol w:w="4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statutory modification, amendment or re-enactment; and</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60"/>
        <w:gridCol w:w="54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subordinate legislation or regulations issued under that statute.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Headings are inserted for convenience only and do not affect the interpretation of these Articles, unless there is ambiguity.</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day on which any act, matter or thing is to be done under these Articles is not a Business Day, the act, matter or thing must be done on the next Business Day.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reference to a </w:t>
            </w:r>
            <w:r>
              <w:rPr>
                <w:rFonts w:ascii="Times New Roman;Times;Serif" w:hAnsi="Times New Roman;Times;Serif"/>
                <w:b/>
                <w:sz w:val="20"/>
              </w:rPr>
              <w:t xml:space="preserve">person </w:t>
            </w:r>
            <w:r>
              <w:rPr>
                <w:rFonts w:ascii="Times New Roman;Times;Serif" w:hAnsi="Times New Roman;Times;Serif"/>
                <w:sz w:val="20"/>
              </w:rPr>
              <w:t>includes, as appropriate, a company, trust, partnership, joint venture, association, body corporate or government agency.</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word or phrase is given a defined meaning another part of speech or grammatical form in respect to that word or phrase has a corresponding meaning.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references to time are to be calculated by reference to time in the place where the Company’s registered office is located.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words </w:t>
            </w:r>
            <w:r>
              <w:rPr>
                <w:rFonts w:ascii="Times New Roman;Times;Serif" w:hAnsi="Times New Roman;Times;Serif"/>
                <w:b/>
                <w:sz w:val="20"/>
              </w:rPr>
              <w:t xml:space="preserve">written </w:t>
            </w:r>
            <w:r>
              <w:rPr>
                <w:rFonts w:ascii="Times New Roman;Times;Serif" w:hAnsi="Times New Roman;Times;Serif"/>
                <w:sz w:val="20"/>
              </w:rPr>
              <w:t xml:space="preserve">and </w:t>
            </w:r>
            <w:r>
              <w:rPr>
                <w:rFonts w:ascii="Times New Roman;Times;Serif" w:hAnsi="Times New Roman;Times;Serif"/>
                <w:b/>
                <w:sz w:val="20"/>
              </w:rPr>
              <w:t xml:space="preserve">in writing </w:t>
            </w:r>
            <w:r>
              <w:rPr>
                <w:rFonts w:ascii="Times New Roman;Times;Serif" w:hAnsi="Times New Roman;Times;Serif"/>
                <w:sz w:val="20"/>
              </w:rPr>
              <w:t>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00"/>
        <w:gridCol w:w="91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words </w:t>
            </w:r>
            <w:r>
              <w:rPr>
                <w:rFonts w:ascii="Times New Roman;Times;Serif" w:hAnsi="Times New Roman;Times;Serif"/>
                <w:b/>
                <w:sz w:val="20"/>
              </w:rPr>
              <w:t>including</w:t>
            </w:r>
            <w:r>
              <w:rPr>
                <w:rFonts w:ascii="Times New Roman;Times;Serif" w:hAnsi="Times New Roman;Times;Serif"/>
                <w:sz w:val="20"/>
              </w:rPr>
              <w:t xml:space="preserve">, </w:t>
            </w:r>
            <w:r>
              <w:rPr>
                <w:rFonts w:ascii="Times New Roman;Times;Serif" w:hAnsi="Times New Roman;Times;Serif"/>
                <w:b/>
                <w:sz w:val="20"/>
              </w:rPr>
              <w:t xml:space="preserve">include </w:t>
            </w:r>
            <w:r>
              <w:rPr>
                <w:rFonts w:ascii="Times New Roman;Times;Serif" w:hAnsi="Times New Roman;Times;Serif"/>
                <w:sz w:val="20"/>
              </w:rPr>
              <w:t xml:space="preserve">and </w:t>
            </w:r>
            <w:r>
              <w:rPr>
                <w:rFonts w:ascii="Times New Roman;Times;Serif" w:hAnsi="Times New Roman;Times;Serif"/>
                <w:b/>
                <w:sz w:val="20"/>
              </w:rPr>
              <w:t xml:space="preserve">in particular </w:t>
            </w:r>
            <w:r>
              <w:rPr>
                <w:rFonts w:ascii="Times New Roman;Times;Serif" w:hAnsi="Times New Roman;Times;Serif"/>
                <w:sz w:val="20"/>
              </w:rPr>
              <w:t>or any similar expression are to be construed without limitation.</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w:t>
            </w:r>
            <w:r>
              <w:rPr>
                <w:rFonts w:ascii="Times New Roman;Times;Serif" w:hAnsi="Times New Roman;Times;Serif"/>
                <w:b/>
                <w:sz w:val="20"/>
              </w:rPr>
              <w:t>present</w:t>
            </w:r>
            <w:r>
              <w:rPr>
                <w:rFonts w:ascii="Times New Roman;Times;Serif" w:hAnsi="Times New Roman;Times;Serif"/>
                <w:sz w:val="20"/>
              </w:rPr>
              <w:t>” means, in respect of any person attending a meeting, such person’s presence at a general meeting of Members (or any meeting of the holders of any class of Shares), which may be satisfied by means of such person or, if a corporation or other non-natural person, its duly authorised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tc>
      </w:tr>
    </w:tbl>
    <w:p>
      <w:pPr>
        <w:pStyle w:val="TextBody"/>
        <w:bidi w:val="0"/>
        <w:spacing w:before="0" w:after="0"/>
        <w:ind w:left="720" w:right="0" w:hanging="708"/>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275"/>
        <w:gridCol w:w="97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headings in these Articles are intended for convenience only and shall not affect the interpretation of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125"/>
        <w:gridCol w:w="6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Act.</w:t>
            </w:r>
          </w:p>
        </w:tc>
      </w:tr>
    </w:tbl>
    <w:p>
      <w:pPr>
        <w:pStyle w:val="TextBody"/>
        <w:bidi w:val="0"/>
        <w:spacing w:before="0" w:after="0"/>
        <w:ind w:left="720" w:right="0" w:hanging="708"/>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275"/>
        <w:gridCol w:w="77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7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limitation to the preceding Article, the Directors may so deal with the unissued Shares:</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230"/>
        <w:gridCol w:w="2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either at a premium or at par;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or without preferred, deferred or other special rights or restrictions, whether in regard to dividend, voting, return of capital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275"/>
        <w:gridCol w:w="39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3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limitation to the two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refuse to accept any application for Shares, and may accept any application in whole or in part, for any reason or for no reason.</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fractions of a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275"/>
        <w:gridCol w:w="68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may pay a commission to any person in consideration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subscribing or agreeing to subscribe, whether absolutely or conditionally; or</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procuring or agreeing to procure subscriptions, whether absolute or conditional,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275"/>
        <w:gridCol w:w="90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employ a broker in the issue of its capital and pay him any proper commission or brokerage.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275"/>
        <w:gridCol w:w="21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as required by Act:</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shall be recognised by the Company as holding any Share on any trust; and</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245"/>
        <w:gridCol w:w="82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other than the Member shall be recognised by the Company as having any right in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141"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Article 2.1, the Memorandum and any Special Resolution to the contrary and without prejudice to any special rights conferred thereby on the holders of any other Shares or class of Shares, Class A Ordinary Shares and Class B Ordinary Shares shall carry equal rights and rank pari passu 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230"/>
        <w:gridCol w:w="1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Conversion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hereof and to compliance with all fiscal and other laws and regulations applicable thereto, including the Act, a holder of Class B Ordinary Shares shall have the Conversion Right in respect of each Class B Ordinary Share in its holding. For the avoidance of doubt, a holder of Class A Ordinary Shares shall have no rights to convert Class A Ordinary Shares into Class B Ordinary Shares under any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Class B Ordinary Share shall be converted at the option of the holder, at any time after issue and without the payment of any additional sum, into such Conversion Number of fully paid Class A Ordinary Shares calculated at the Conversion Rate. Such conversion shall take effect on the Conversion Date. A Conversion Notice shall not be effective if it is not accompanied by the share certificates in respect of the relevant Class B Ordinary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Ordinary Shares requesting conversion.</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Conversion Date, every Class B Ordinary Share converted shall automatically be re-designated and re-classified (or in such other manner as the Directors may direct that is not in contravention of applicable laws) as the applicable Conversion Number of Class A Ordinary Shares with such rights and restrictions attached thereto and shall rank pari passu in all respects with the Class A Ordinary Shares then in issue and the Company shall enter or procure the entry of the name of the relevant holder of converted Class B Ordinary Shares as the holder of the corresponding number of Class A Ordinary Shares resulting from the conversion of the Class B Ordinary Shares in, and make any other necessary and consequential changes to, the register of members and shall procure that, if required, certificates in respect of the relevant Class A Ordinary Shares, together with a new certificate for any unconverted Class B Ordinary Shares comprised in the certificate(s) surrendered by the holder of the Class B Ordinary Shares, are issued to the holders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time as the Class B Ordinary Shares have been converted into Class A Ordinary Shares, the Company shall: (A) 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into Class A Ordinary Shares and any other rights of conversion into, subscription for or exchange into Class A Ordinary Shares to be satisfied in full; and (B) not make any issue, grant or distribution or take any other action if the effect would be that on the conversion of the Class B Ordinary Shares to Class A Ordinary Shares it would be required to issue Class A Ordinary Shares at a price lower than the par value thereof.</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245"/>
        <w:gridCol w:w="12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2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Class A Ordinary Shares and Class B Ordinary Shares have the right to receive notice of, attend, speak and vote at general meetings of the Company. Holders of shares of Class A Ordinary Shares and Class B Ordinary Shares shall, at all times, vote together as a single class on all matters submitted to a vote for Members’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Class A Ordinary Share shall be entitled to one (1) vote on all matters subject to the vote at general meetings of the Company; whereas, each Class B Ordinary Share shall be entitled to ten (10) votes on all matters subject to the vote at general meetings of the Company.</w:t>
            </w:r>
          </w:p>
        </w:tc>
      </w:tr>
    </w:tbl>
    <w:p>
      <w:pPr>
        <w:pStyle w:val="TextBody"/>
        <w:bidi w:val="0"/>
        <w:spacing w:before="0" w:after="0"/>
        <w:ind w:left="1559" w:right="0" w:hanging="71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30"/>
        <w:gridCol w:w="1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any sale, transfer, assignment or disposition of Class B Ordinary Shares by a holder thereof to any person or entity which is not an Affiliate of such holder, such Class B Ordinary Shares validly transferred to the new holder shall be automatically and immediately converted into such Conversion Number of Class A Ordinary Shares calculated based on the Conversion Rate.</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Ordinary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Ordinary Shares, in which case all the related Class B Ordinary Shares shall be automatically converted into the same number of Class A Ordinary Shares upon the Company’s registration of the third party or its designee as a Member holding that number of Class A Ordinary Shares in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230"/>
        <w:gridCol w:w="94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Members holding not less than two-thirds of the issued Shares of that class consent in writing to the variation; or</w:t>
            </w:r>
          </w:p>
        </w:tc>
      </w:tr>
    </w:tbl>
    <w:p>
      <w:pPr>
        <w:pStyle w:val="TextBody"/>
        <w:bidi w:val="0"/>
        <w:spacing w:before="0" w:after="0"/>
        <w:ind w:left="1559" w:right="0" w:hanging="71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variation is made with the sanction of a Special Resolution passed at a separate general meeting of the Members holding the issued Shares of that class.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Article 2.10(b),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i/>
                <w:sz w:val="20"/>
              </w:rPr>
              <w:t xml:space="preserve">pari passu </w:t>
            </w:r>
            <w:r>
              <w:rPr>
                <w:rFonts w:ascii="Times New Roman;Times;Serif" w:hAnsi="Times New Roman;Times;Serif"/>
                <w:sz w:val="20"/>
              </w:rPr>
              <w:t>with the existing Shares of that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80"/>
        <w:gridCol w:w="47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issue Shares or warrants to bearers.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1559" w:right="0" w:hanging="711"/>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230"/>
        <w:gridCol w:w="75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so determine prior to the purchase, redemption or surrender of those shares; and</w:t>
            </w:r>
          </w:p>
        </w:tc>
      </w:tr>
    </w:tbl>
    <w:p>
      <w:pPr>
        <w:pStyle w:val="TextBody"/>
        <w:bidi w:val="0"/>
        <w:spacing w:before="0" w:after="0"/>
        <w:ind w:left="1559" w:right="0" w:hanging="711"/>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relevant provisions of the Memorandum and Articles and the Act are otherwise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380"/>
        <w:gridCol w:w="84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Article 2.17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Treasury Shares may be disposed of by the Company in accordance with the Act and otherwise on such terms and conditions as the Directors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25"/>
        <w:gridCol w:w="36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certificates Issue of share certificates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certificate shall bear legends required under the applicable laws, including the U.S. Securities Act (to the extent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75"/>
        <w:gridCol w:w="8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share certificate is defaced, worn-out, lost or destroyed, it may be renewed on such terms (if any) as to:</w:t>
            </w:r>
          </w:p>
        </w:tc>
      </w:tr>
    </w:tbl>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230"/>
        <w:gridCol w:w="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245"/>
        <w:gridCol w:w="9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the expenses reasonably incurred by the Company in investigating the evidence; and</w:t>
            </w:r>
          </w:p>
        </w:tc>
      </w:tr>
    </w:tbl>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245"/>
        <w:gridCol w:w="62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a reasonable fee, if any for issuing a replacement share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75"/>
        <w:gridCol w:w="125"/>
        <w:gridCol w:w="12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2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Lien 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1559" w:right="0" w:hanging="711"/>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230"/>
        <w:gridCol w:w="77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Member; and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245"/>
        <w:gridCol w:w="41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275"/>
        <w:gridCol w:w="89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time the Board may declare any Share to be wholly or partly exempt from the provisions of this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275"/>
        <w:gridCol w:w="81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sell any Shares over which it has a lien if all of the following conditions are met:</w:t>
            </w:r>
          </w:p>
        </w:tc>
      </w:tr>
    </w:tbl>
    <w:p>
      <w:pPr>
        <w:pStyle w:val="TextBody"/>
        <w:bidi w:val="0"/>
        <w:spacing w:before="0" w:after="0"/>
        <w:ind w:left="1559" w:right="0" w:hanging="71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30"/>
        <w:gridCol w:w="51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sum in respect of which the lien exists is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559" w:right="0" w:hanging="711"/>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sum is not paid within fourteen (14) Clear Days after that notice is deemed to be given under these Articles,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275"/>
        <w:gridCol w:w="63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Lien Default Shares may be sold in such manner as the Board determines.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maximum extent permitted by law, the Directors shall incur no personal liability to the Member concerned in respect of the sale.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275"/>
        <w:gridCol w:w="36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3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 sale pursuant to the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Member concerned shall be removed from the register of Members as the holder of those Lien Default Shares; and</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245"/>
        <w:gridCol w:w="88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shall deliver to the Company for cancellation the certificate (if any) for those Lien Default Shares.</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1559" w:right="0" w:hanging="71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230"/>
        <w:gridCol w:w="64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certificate for the Lien Default Shares was issued, at the date of the sale; or</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245"/>
        <w:gridCol w:w="96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certificate for the Lien Default Shares was issued, upon surrender to the Company of that certificate for cancellation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25"/>
        <w:gridCol w:w="25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5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Calls on Shares and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 registered as the joint holders of a Share shall be jointly and severally liable to pay all calls in respect of the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30"/>
        <w:gridCol w:w="6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rate fixed by the terms of allotment of the Share or in the notice of the call; or</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245"/>
        <w:gridCol w:w="3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rate is fixed, at the Default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1559" w:right="0" w:hanging="71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 unpaid;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45"/>
        <w:gridCol w:w="3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interest which may have accrued; and</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230"/>
        <w:gridCol w:w="6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expenses which have been incurred by the Company due to that person’s default.</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380"/>
        <w:gridCol w:w="29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notice shall state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230"/>
        <w:gridCol w:w="35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place where payment is to be made; and</w:t>
            </w:r>
          </w:p>
        </w:tc>
      </w:tr>
    </w:tbl>
    <w:p>
      <w:pPr>
        <w:pStyle w:val="TextBody"/>
        <w:bidi w:val="0"/>
        <w:spacing w:before="0" w:after="0"/>
        <w:ind w:left="1559" w:right="0" w:hanging="7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warning that if the notice is not complied with the Shares in respect of which the call is made will be liable to be forfeited.</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380"/>
        <w:gridCol w:w="21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forfeiture or surrender: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shall surrender to the Company for cancellation the certificate (if any) for the forfeited or surrendered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10" w:right="0" w:hanging="710"/>
        <w:jc w:val="righ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30"/>
        <w:gridCol w:w="1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expenses; and</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45"/>
        <w:gridCol w:w="50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from the date of forfeiture or surrender until payment:</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200"/>
        <w:gridCol w:w="62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rate of which interest was payable on those monies before forfeiture; or</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260"/>
        <w:gridCol w:w="396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interest was so payable, at the Default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1559" w:right="0" w:hanging="71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person making the declaration is a Director or Secretary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particular Shares have been forfeited or surrendered on a particular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141"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25"/>
        <w:gridCol w:w="16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6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Transfer of Shares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tc>
      </w:tr>
    </w:tbl>
    <w:p>
      <w:pPr>
        <w:pStyle w:val="TextBody"/>
        <w:bidi w:val="0"/>
        <w:spacing w:before="0" w:after="0"/>
        <w:ind w:left="1559" w:right="0" w:hanging="71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230"/>
        <w:gridCol w:w="5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are Fully Paid, by or on behalf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are partly paid, by or on behalf of that Member and the transferee.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transferor shall be deemed to remain the holder of a Share until the name of the transferee is entered into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of any class in question are not listed on or subject to the rules of any Designated Stock Exchange,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245"/>
        <w:gridCol w:w="53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Share is to be transferred does not exceed four;</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230"/>
        <w:gridCol w:w="7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transferred are Fully Paid Up and free of any lien in favour of the Company; and</w:t>
            </w:r>
          </w:p>
        </w:tc>
      </w:tr>
    </w:tbl>
    <w:p>
      <w:pPr>
        <w:pStyle w:val="TextBody"/>
        <w:bidi w:val="0"/>
        <w:spacing w:before="0" w:after="0"/>
        <w:ind w:left="1581"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of transfers may, on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275"/>
        <w:gridCol w:w="64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instruments of transfer that are registered shall be retained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refuse to register a transfer of any Shares of any class not listed on a Designated Stock Exchange, they shall within one month after the date on which the instrument of transfer was lodged with the Company send to each of the transferor and the transferee notice of the refusal.</w:t>
            </w:r>
          </w:p>
        </w:tc>
      </w:tr>
    </w:tbl>
    <w:p>
      <w:pPr>
        <w:pStyle w:val="TextBody"/>
        <w:bidi w:val="0"/>
        <w:spacing w:before="0" w:after="0"/>
        <w:ind w:left="141"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125"/>
        <w:gridCol w:w="20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Transmission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Member dies, the only persons recognised by the Company as having any title to the deceased Members’ interest are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230"/>
        <w:gridCol w:w="6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deceased Member was a joint holder, the survivor or survivors; and</w:t>
            </w:r>
          </w:p>
        </w:tc>
      </w:tr>
    </w:tbl>
    <w:p>
      <w:pPr>
        <w:pStyle w:val="TextBody"/>
        <w:bidi w:val="0"/>
        <w:spacing w:before="0" w:after="0"/>
        <w:ind w:left="1559" w:right="0" w:hanging="71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245"/>
        <w:gridCol w:w="84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deceased Member was a sole holder, that Member’s personal representative or representatives.</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becoming entitled to a Share in consequence of the death or bankruptcy of a Member may elect to do either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230"/>
        <w:gridCol w:w="30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become the holder of the Share; or</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45"/>
        <w:gridCol w:w="31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transfer the Share to another person.</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275"/>
        <w:gridCol w:w="78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275"/>
        <w:gridCol w:w="51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person elects to transfer the Share to another person then:</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is Fully Paid Up, the transferor must execute an instrument of transfer;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is nil or Partly Paid Up, the transferor and the transferee must execute an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275"/>
        <w:gridCol w:w="94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the Articles relating to the transfer of Shares shall apply to the notice or, as appropriate, the instrument of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25"/>
        <w:gridCol w:w="17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fullest extent permitted by the Act, the Company may by Ordinary Resolution do any of the following and amend its Memorandum for that purpose: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45"/>
        <w:gridCol w:w="85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its share capital into Shares of larger amount than its existing Shares;</w:t>
            </w:r>
          </w:p>
        </w:tc>
      </w:tr>
    </w:tbl>
    <w:p>
      <w:pPr>
        <w:pStyle w:val="TextBody"/>
        <w:bidi w:val="0"/>
        <w:spacing w:before="0" w:after="0"/>
        <w:ind w:left="1559" w:right="0" w:hanging="711"/>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230"/>
        <w:gridCol w:w="95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 all or any of its Paid 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round up or down the fraction to the nearest whole number, such rounding to be determined by the Directors acting in their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 the Shares representing the fractions for the best price reasonably obtainable to any person (including, subject to the provisions of the Act, the Company); or</w:t>
            </w:r>
          </w:p>
        </w:tc>
      </w:tr>
    </w:tbl>
    <w:p>
      <w:pPr>
        <w:pStyle w:val="TextBody"/>
        <w:bidi w:val="0"/>
        <w:spacing w:before="0" w:after="0"/>
        <w:ind w:left="1559" w:right="0" w:hanging="71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230"/>
        <w:gridCol w:w="5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distribute the net proceeds in due proportion among those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25"/>
        <w:gridCol w:w="34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to any rights for the time being conferred on the Members holding a particular class of Shares, the Company may by its Directors: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When making a payment in respect of the redemption or purchase of Shares, the Directors may make the payment in cash or </w:t>
            </w:r>
            <w:r>
              <w:rPr>
                <w:rFonts w:ascii="Times New Roman;Times;Serif" w:hAnsi="Times New Roman;Times;Serif"/>
                <w:i/>
                <w:sz w:val="20"/>
              </w:rPr>
              <w:t xml:space="preserve">in specie </w:t>
            </w:r>
            <w:r>
              <w:rPr>
                <w:rFonts w:ascii="Times New Roman;Times;Serif" w:hAnsi="Times New Roman;Times;Serif"/>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275"/>
        <w:gridCol w:w="42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the date of redemption or purchase of a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holding that Share shall cease to be entitled to any rights in respect of the Share other than the right to receive:</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00"/>
        <w:gridCol w:w="22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for the Share; and</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260"/>
        <w:gridCol w:w="723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dividend declared in respect of the Share prior to the date of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245"/>
        <w:gridCol w:w="78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Member’s name shall be removed from the register of Members with respect to the Share; and</w:t>
            </w:r>
          </w:p>
        </w:tc>
      </w:tr>
    </w:tbl>
    <w:p>
      <w:pPr>
        <w:pStyle w:val="TextBody"/>
        <w:bidi w:val="0"/>
        <w:spacing w:before="0" w:after="0"/>
        <w:ind w:left="1559" w:right="0" w:hanging="711"/>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230"/>
        <w:gridCol w:w="71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shall be cancelled or held as a Treasury Share,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08"/>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230"/>
        <w:gridCol w:w="18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380"/>
        <w:gridCol w:w="84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general meetings other than annual general meetings shall be called extraordinary general meetings.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380"/>
        <w:gridCol w:w="434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call a general meeting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380"/>
        <w:gridCol w:w="87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requisition must be in writing and given by one or more Members who together hold at least ten per cent of the rights to vote at such general meeting.</w:t>
            </w:r>
          </w:p>
        </w:tc>
      </w:tr>
    </w:tbl>
    <w:p>
      <w:pPr>
        <w:pStyle w:val="TextBody"/>
        <w:bidi w:val="0"/>
        <w:spacing w:before="0" w:after="0"/>
        <w:ind w:left="720" w:right="0" w:hanging="708"/>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380"/>
        <w:gridCol w:w="21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requisition must also:</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230"/>
        <w:gridCol w:w="28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specify the purpose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30"/>
        <w:gridCol w:w="44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 delivered in accordance with the notice provisions.</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the foregoing, if there are insufficient Directors to constitute a quorum and the remaining Directors are unable to agree on the appointment of additional Directors, any one or more Members who together hold at least five (5)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485"/>
        <w:gridCol w:w="930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Members call a meeting under the above provisions, the Company shall reimburse their reasonable expenses.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485"/>
        <w:gridCol w:w="516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a general meeting shall specify each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230"/>
        <w:gridCol w:w="35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the date and the hour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245"/>
        <w:gridCol w:w="57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meeting will be held virtually, at a physical place or both;</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230"/>
        <w:gridCol w:w="68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meeting is to be held in any part at a physical place, the address of such place;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meeting is to be held in two or more places, or in any part virtually, the Electronic Communication Facilities that will be used to facilitate the meeting, including the procedures to be followed by any Member or other participant of the meeting who wishes to utilise such Electronic Communication Facilities for the purposes of attending and participating in such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paragraph (f) and the requirements of (to the extent applicable) the Designated Stock Exchange Rules, the general nature of the business to be transacted; and</w:t>
            </w:r>
          </w:p>
        </w:tc>
      </w:tr>
    </w:tbl>
    <w:p>
      <w:pPr>
        <w:pStyle w:val="TextBody"/>
        <w:bidi w:val="0"/>
        <w:spacing w:before="0" w:after="0"/>
        <w:ind w:left="1559" w:right="0" w:hanging="71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00"/>
        <w:gridCol w:w="62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 resolution is proposed as a Special Resolution, the text of that resolution.</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485"/>
        <w:gridCol w:w="70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7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each notice there shall appear with reasonable prominence the following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Member who is entitled to attend and vote is entitled to appoint one or more proxies to attend and vote instead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45"/>
        <w:gridCol w:w="3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a proxyholder need not be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485"/>
        <w:gridCol w:w="70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7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least five (5) Clear Days’ notice must be given to Members for any general meeting.</w:t>
            </w:r>
          </w:p>
        </w:tc>
      </w:tr>
    </w:tbl>
    <w:p>
      <w:pPr>
        <w:pStyle w:val="TextBody"/>
        <w:bidi w:val="0"/>
        <w:spacing w:before="0" w:after="0"/>
        <w:ind w:left="848" w:right="0" w:hanging="707"/>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4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848" w:right="0" w:hanging="70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 meeting may be convened on shorter notice, subject to the Act with the consent of the Member or Members who, individually or collectively, hold at least seventy-five per cent (75%) of the voting rights of all those who have a right to vote at that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75"/>
        <w:gridCol w:w="230"/>
        <w:gridCol w:w="10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Members</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245"/>
        <w:gridCol w:w="67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a Share in consequence of the death or bankruptcy of a Member;</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
        <w:gridCol w:w="230"/>
        <w:gridCol w:w="14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45"/>
        <w:gridCol w:w="22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Auditors (if appointed).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determine that the Members entitled to receive notice of, attend and vote at a meeting are those persons entered on the register of Members at the close of business on a day determined by the Board.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485"/>
        <w:gridCol w:w="548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at a meeting shall not be invalidated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accidental failure to give notice of the meeting to any person entitled to notice; or</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245"/>
        <w:gridCol w:w="5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non-receipt of notice of the meeting by any person entitled to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where a notice of meeting is published on a website proceedings at the meeting shall not be invalidated merely because it is accidentally published:</w:t>
            </w:r>
          </w:p>
        </w:tc>
      </w:tr>
    </w:tbl>
    <w:p>
      <w:pPr>
        <w:pStyle w:val="TextBody"/>
        <w:bidi w:val="0"/>
        <w:spacing w:before="0" w:after="0"/>
        <w:ind w:left="1559" w:right="0" w:hanging="71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30"/>
        <w:gridCol w:w="30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 different place on the website; or</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45"/>
        <w:gridCol w:w="98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part only of the period from the date of the notification until the conclusion of the meeting to which the notice relates.</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230"/>
        <w:gridCol w:w="31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Proceedings at meetings of Members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as provided in the following Article, no business shall be transacted at any meeting unless a quorum is present in person or by proxy at the meeting. A quorum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230"/>
        <w:gridCol w:w="4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Company has only one Member: that Member;</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4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quorum is not present at the meeting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230"/>
        <w:gridCol w:w="54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meeting was requisitioned by Members, it shall be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case, the meeting shall stand adjourned to the same time and place seven days hence, or to such other time or place as is determined by the Directors. If a quorum is not present at the meeting within fifteen minutes of the time appointed for the adjourned meeting, then the Members present in person or by proxy at the meeting shall constitute a quorum.</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of a general meeting (including any Virtual Meeting) shall be the chairman of the Board or such other Director as the Directors may determine. Absent any such person being present at the meeting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Virtual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0"/>
        <w:ind w:left="1559" w:right="0" w:hanging="71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230"/>
        <w:gridCol w:w="61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participate in the business for which the meeting has been convened; and</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245"/>
        <w:gridCol w:w="31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hear all that happens at the meeting.</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4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Directors may determine that any general meeting may be held as a Virtual Meeting.</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380"/>
        <w:gridCol w:w="156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11.8</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meeting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adjourned, with or without an appointed date for resumption, at any time during the meeting at the discretion of the chairman with the consent of the Members constituting a quorum.</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485"/>
        <w:gridCol w:w="566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11.10</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resolution put to the vote of the meeting shall be decided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485"/>
        <w:gridCol w:w="875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11.12</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an equality of votes, the Chairman of the meeting shall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section 60(1) of the Act, Members may pass a Special Resolution in writing without holding a meeting if the following conditions are met:</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Members entitled to vote on the resolution are given notice of the resolution as if the same were being proposed at a meeting of Members;</w:t>
            </w:r>
          </w:p>
        </w:tc>
      </w:tr>
    </w:tbl>
    <w:p>
      <w:pPr>
        <w:pStyle w:val="TextBody"/>
        <w:bidi w:val="0"/>
        <w:spacing w:before="0" w:after="0"/>
        <w:ind w:left="710" w:right="0" w:hanging="710"/>
        <w:jc w:val="righ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245"/>
        <w:gridCol w:w="2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720" w:right="0" w:hanging="708"/>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485"/>
        <w:gridCol w:w="94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11.14</w:t>
            </w:r>
          </w:p>
        </w:tc>
        <w:tc>
          <w:tcPr>
            <w:tcW w:w="9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may pass an Ordinary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230"/>
        <w:gridCol w:w="41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Members entitled to vote on the resolution are:</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200"/>
        <w:gridCol w:w="77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given notice of the resolution as if the same were being proposed at a meeting of Members; and</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notified in the same or an accompanying notice of the date by which the resolution must be passed if it is not to lapse, being a period of 7 days beginning with the date that the notice is first given;</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245"/>
        <w:gridCol w:w="46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required majority of the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2267"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5 days beginning with the date that notice of the resolution is first given and (ii) the date when the required majority have so signified their agreement to the resolution. However, the proposed written resolution lapses if it is not passed before the end of the period of 7 days beginning with the date that notice of it is first given.</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i/>
                <w:sz w:val="20"/>
              </w:rPr>
              <w:t>Notices</w:t>
            </w:r>
            <w:r>
              <w:rPr>
                <w:rFonts w:ascii="Times New Roman;Times;Serif" w:hAnsi="Times New Roman;Times;Serif"/>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485"/>
        <w:gridCol w:w="91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11.17</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written resolution is described as a Special Resolution or as an Ordinary Resolution, it has effect accordingly.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11.19</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30"/>
        <w:gridCol w:w="2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Voting rights of Members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 Unless otherwise required under the Act or by these Articles, holders of Class A Ordinary Shares and Class B Ordinary Shares shall at all times vote together as one class on all resolutions submitted to a vote by the Members.</w:t>
            </w:r>
          </w:p>
        </w:tc>
      </w:tr>
    </w:tbl>
    <w:p>
      <w:pPr>
        <w:pStyle w:val="TextBody"/>
        <w:bidi w:val="0"/>
        <w:spacing w:before="0" w:after="0"/>
        <w:ind w:left="720" w:right="0" w:hanging="708"/>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380"/>
        <w:gridCol w:w="3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may vote in person or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poll, each Class A Ordinary Share shall be entitled to one (1) vote on all matters subject to vote at general meetings of the Company, and each Class B Ordinary Share shall be entitled to ten (10) votes on all matters subject to vote at general meetings of the Company. A fraction of a Class A Ordinary Share shall entitle its holder to an equivalent fraction of one (1) vote, and a fraction of a Class B Ordinary Share shall entitle its holder to an equivalent fraction of ten</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votes.</w:t>
      </w:r>
    </w:p>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380"/>
        <w:gridCol w:w="953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12.4</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is bound to vote on his Shares or any of them; nor is he bound to vote each of his Shares in the same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380"/>
        <w:gridCol w:w="79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12.6</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provided, a corporate Member must act by a duly authorised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i/>
                <w:sz w:val="20"/>
              </w:rPr>
              <w:t>curator bonis</w:t>
            </w:r>
            <w:r>
              <w:rPr>
                <w:rFonts w:ascii="Times New Roman;Times;Serif" w:hAnsi="Times New Roman;Times;Serif"/>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485"/>
        <w:gridCol w:w="903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12.15</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instrument appointing a proxy shall be in any common form or in any other form approved by the Directors.</w:t>
            </w:r>
          </w:p>
        </w:tc>
      </w:tr>
    </w:tbl>
    <w:p>
      <w:pPr>
        <w:pStyle w:val="TextBody"/>
        <w:bidi w:val="0"/>
        <w:spacing w:before="0" w:after="0"/>
        <w:ind w:left="848" w:right="0" w:hanging="707"/>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485"/>
        <w:gridCol w:w="61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12.16</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instrument must be in writing and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230"/>
        <w:gridCol w:w="15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Member; or</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245"/>
        <w:gridCol w:w="32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Member’s authorised attorney; or</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30"/>
        <w:gridCol w:w="98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Member is a corporation or other body corporate, under seal or signed by an authorised officer, secretary or attorney.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12.17</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may revoke the appointment of a proxy at any time by notice to the Company duly signed in accordance with Article 12.16.</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12.19</w:t>
            </w:r>
          </w:p>
        </w:tc>
        <w:tc>
          <w:tcPr>
            <w:tcW w:w="9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1559" w:right="0" w:hanging="71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230"/>
        <w:gridCol w:w="57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an instrument in writing, it must be left at or sent by post:</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00"/>
        <w:gridCol w:w="34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the registered office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2267" w:right="0" w:hanging="708"/>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200"/>
        <w:gridCol w:w="32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notice convening the meeting; or</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260"/>
        <w:gridCol w:w="75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form of appointment of a proxy sent out by the Company in relation to the meeting; or</w:t>
            </w:r>
          </w:p>
        </w:tc>
      </w:tr>
    </w:tbl>
    <w:p>
      <w:pPr>
        <w:pStyle w:val="TextBody"/>
        <w:bidi w:val="0"/>
        <w:spacing w:before="0" w:after="0"/>
        <w:ind w:left="2267" w:right="0" w:hanging="708"/>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320"/>
        <w:gridCol w:w="70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invitation to appoint a proxy issued by the Company in relation to the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0"/>
        <w:ind w:left="848" w:right="0" w:hanging="707"/>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485"/>
        <w:gridCol w:w="59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12.21</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form of appointment of proxy is not delivered on time, it is invalid.</w:t>
            </w:r>
          </w:p>
        </w:tc>
      </w:tr>
    </w:tbl>
    <w:p>
      <w:pPr>
        <w:pStyle w:val="TextBody"/>
        <w:bidi w:val="0"/>
        <w:spacing w:before="0" w:after="0"/>
        <w:ind w:left="848" w:right="0" w:hanging="707"/>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99"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appointing a proxy to vote at a meeting shall not confer any further right to speak at the meeting, except with the permission of the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30"/>
        <w:gridCol w:w="17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141"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230"/>
        <w:gridCol w:w="47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4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Appointment, disqualification and removal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first Directors shall be appointed in writing by the subscriber or subscribers to the Memorandum, or a majority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380"/>
        <w:gridCol w:w="70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7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age limit for Directors save that they must be at least eighteen years of age.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5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a shareholding qualification for Directors is fixed by Ordinary Resolution, no Director shall be required to own Shares as a condition of his appointment.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380"/>
        <w:gridCol w:w="78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14.6</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remaining Director(s)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485"/>
        <w:gridCol w:w="426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14.11</w:t>
            </w:r>
          </w:p>
        </w:tc>
        <w:tc>
          <w:tcPr>
            <w:tcW w:w="4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Director may be removed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5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provisions in these Articles for retirement (by rotation or otherwise), a Director’s office shall be terminated forthwith if:</w:t>
            </w:r>
          </w:p>
        </w:tc>
      </w:tr>
    </w:tbl>
    <w:p>
      <w:pPr>
        <w:pStyle w:val="TextBody"/>
        <w:bidi w:val="0"/>
        <w:spacing w:before="0" w:after="0"/>
        <w:ind w:left="1559" w:right="0" w:hanging="71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prohibited by the law of the Cayman Islands from acting as a Director; or</w:t>
            </w:r>
          </w:p>
        </w:tc>
      </w:tr>
    </w:tbl>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245"/>
        <w:gridCol w:w="75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bankrupt or makes an arrangement or composition with his creditors generally; or</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30"/>
        <w:gridCol w:w="40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resigns his office by notice to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245"/>
        <w:gridCol w:w="5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only held office as a Director for a fixed term and such term expires;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opinion of a registered medical practitioner by whom he is being treated he becomes physically or mentally incapable of acting as a Director;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45"/>
        <w:gridCol w:w="90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consent of the other Directors, he is absent from meetings of Directors for a continuous period of six months.</w:t>
            </w:r>
          </w:p>
        </w:tc>
      </w:tr>
    </w:tbl>
    <w:p>
      <w:pPr>
        <w:pStyle w:val="TextBody"/>
        <w:bidi w:val="0"/>
        <w:spacing w:before="0" w:after="0"/>
        <w:ind w:left="141"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230"/>
        <w:gridCol w:w="16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Alternate Directors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5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of appointment or removal of an alternate Director shall be effective only if given to the Company by one or more of the following methods:</w:t>
            </w:r>
          </w:p>
        </w:tc>
      </w:tr>
    </w:tbl>
    <w:p>
      <w:pPr>
        <w:pStyle w:val="TextBody"/>
        <w:bidi w:val="0"/>
        <w:spacing w:before="0" w:after="0"/>
        <w:ind w:left="1559" w:right="0" w:hanging="71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230"/>
        <w:gridCol w:w="72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notice in writing in accordance with the notice provisions contained in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permitted pursuant to the notice provisions, in some other form of approved Electronic Record delivered in accordance with those provisions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380"/>
        <w:gridCol w:w="91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notices of meetings of Directors shall continue to be given to the appointing Director and not to the alternate.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380"/>
        <w:gridCol w:w="50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alternate Director shall cease to be an alternate Director if:</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230"/>
        <w:gridCol w:w="47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 who appointed him ceases to be a Director; or</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5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event happens in relation to him which, if he were a Director of the Company, would cause his office as Director to be vacated.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380"/>
        <w:gridCol w:w="750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15.7</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carry out all functions of the Director who made the appointment.</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380"/>
        <w:gridCol w:w="83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expressed, an alternate Director shall be treated as a Director under these Articles.</w:t>
            </w:r>
          </w:p>
        </w:tc>
      </w:tr>
    </w:tbl>
    <w:p>
      <w:pPr>
        <w:pStyle w:val="TextBody"/>
        <w:bidi w:val="0"/>
        <w:spacing w:before="0" w:after="0"/>
        <w:ind w:left="720" w:right="0" w:hanging="708"/>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380"/>
        <w:gridCol w:w="55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15.9</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485"/>
        <w:gridCol w:w="711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15.10</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entitled to any remuneration for acting as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485"/>
        <w:gridCol w:w="897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15.11</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has appointed an alternate is not thereby relieved from the duties which he owes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230"/>
        <w:gridCol w:w="17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17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Powers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5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16.4</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appoint a Director:</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30"/>
        <w:gridCol w:w="21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chairman of the Board;</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245"/>
        <w:gridCol w:w="18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230"/>
        <w:gridCol w:w="24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any other executive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appointee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16.6</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chairman is appointed he shall, unless unable to do so, preside at every meeting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16.8</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Directors may also appoint and remove any person, who need not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Secretary; and</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245"/>
        <w:gridCol w:w="27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any office that may be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16.9</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Secretary or Officer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16.10</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Secretary or other Officer of the Company may not the hold the office, or perform the services, of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141"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16.15</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16.16</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16.17</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compliance with applicable laws, including the applicable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1559" w:right="0" w:hanging="71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that person, as the case may be, is lawfully required to do so under the laws of any jurisdiction to which the Company is subject; or</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245"/>
        <w:gridCol w:w="64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compliance with the Designated Stock Exchange Rules; or</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30"/>
        <w:gridCol w:w="6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accordance with any contract entered into by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245"/>
        <w:gridCol w:w="80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are of the opinion such disclosure would assist or facilitate the Company’s operations.</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30"/>
        <w:gridCol w:w="18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5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collateral with, or to the exclusion of, the Directors’ own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17.4</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17.5</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the Shares are listed on a Designated Stock Exchange, the Board shall, if required by the Designated Stock Exchange Rules,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committees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17.6</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17.8</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230"/>
        <w:gridCol w:w="6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causing the Company to enter into a power of attorney or agreement; or</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245"/>
        <w:gridCol w:w="2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any other manner they determine.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1559" w:right="0" w:hanging="71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230"/>
        <w:gridCol w:w="1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any purpose;</w:t>
            </w:r>
          </w:p>
        </w:tc>
      </w:tr>
    </w:tbl>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245"/>
        <w:gridCol w:w="3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the powers, authorities and discretions;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230"/>
        <w:gridCol w:w="15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period; and</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45"/>
        <w:gridCol w:w="21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such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485"/>
        <w:gridCol w:w="85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17.12</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remove any person appointed under Article 17.10 and may revoke or vary the delegation.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Meetings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141"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380"/>
        <w:gridCol w:w="84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the Directors may regulate their proceedings as they think fit.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380"/>
        <w:gridCol w:w="68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participating in this way is deemed to be present in person at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quorum for the transaction of business at a meeting of Directors shall be two unless the Directors fix some other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present at a meeting of Directors shall be presumed to have assented to any action taken at that meeting unless: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230"/>
        <w:gridCol w:w="4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 dissent is entered in the minutes of the meeting; or</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245"/>
        <w:gridCol w:w="69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filed with the meeting before it is concluded signed dissent from that action; or</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230"/>
        <w:gridCol w:w="89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forwarded to the Company as soon as practical following the conclusion of that meeting signed dissent.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485"/>
        <w:gridCol w:w="86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18.13</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personally by the appointing Director need not also be signed by his alternate.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230"/>
        <w:gridCol w:w="3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39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6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230"/>
        <w:gridCol w:w="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80"/>
        <w:gridCol w:w="47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c>
          <w:tcPr>
            <w:tcW w:w="4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shall cause minutes to be made in books of:</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230"/>
        <w:gridCol w:w="8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appointments of Officers and committees made by the Board and of any such Officer’s remuneration;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230"/>
        <w:gridCol w:w="16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16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Directors otherwise prescribe, the financial year of the Company shall end on 31 December in each year and begin on 1 January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380"/>
        <w:gridCol w:w="95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6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380"/>
        <w:gridCol w:w="97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230"/>
        <w:gridCol w:w="11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11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i/>
                <w:sz w:val="20"/>
              </w:rPr>
              <w:t xml:space="preserve">inter se </w:t>
            </w:r>
            <w:r>
              <w:rPr>
                <w:rFonts w:ascii="Times New Roman;Times;Serif" w:hAnsi="Times New Roman;Times;Serif"/>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provisions of this Article apply, </w:t>
            </w:r>
            <w:r>
              <w:rPr>
                <w:rFonts w:ascii="Times New Roman;Times;Serif" w:hAnsi="Times New Roman;Times;Serif"/>
                <w:i/>
                <w:sz w:val="20"/>
              </w:rPr>
              <w:t>mutatis mutandis</w:t>
            </w:r>
            <w:r>
              <w:rPr>
                <w:rFonts w:ascii="Times New Roman;Times;Serif" w:hAnsi="Times New Roman;Times;Serif"/>
                <w:sz w:val="20"/>
              </w:rPr>
              <w:t>, to bonuses, capitalisation issues, distributions of realised capital profits or offers or grants made by the Company to the Members.</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230"/>
        <w:gridCol w:w="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Dividends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141"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380"/>
        <w:gridCol w:w="854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may be declared and paid out of any funds of the Company lawfully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6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23.5</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in relation to the distinction between interim dividends and final dividends,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708"/>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23.6</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Shares carrying differing rights to dividends or rights to dividends at a fixed rate, the following applies: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6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fractional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559" w:right="0" w:hanging="71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30"/>
        <w:gridCol w:w="2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 some assets in trustees.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485"/>
        <w:gridCol w:w="85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23.10</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or other monies payable on or in respect of a Share may be paid in any of the following ways: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 holding that Share or other person entitled to that Share nominates a bank account for that purpose - by wire transfer to that bank account;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cheque or warrant sent by post to the registered address of the Member holding that Share or other person entitled to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two or more persons are registered as the holders of the Share or are jointly entitled to it by reason of the death or bankruptcy of the registered holder (</w:t>
            </w:r>
            <w:r>
              <w:rPr>
                <w:rFonts w:ascii="Times New Roman;Times;Serif" w:hAnsi="Times New Roman;Times;Serif"/>
                <w:b/>
                <w:sz w:val="20"/>
              </w:rPr>
              <w:t>Joint Holders</w:t>
            </w:r>
            <w:r>
              <w:rPr>
                <w:rFonts w:ascii="Times New Roman;Times;Serif" w:hAnsi="Times New Roman;Times;Serif"/>
                <w:sz w:val="20"/>
              </w:rPr>
              <w:t>), a dividend (or other amount) payable on or in respect of that Share may be paid as follows: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address or bank account of another person nominated by the Joint Holders, whether that nomination is in writing or in an Electronic Record.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6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485"/>
        <w:gridCol w:w="95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23.13</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Joint Holder of a Share may give a valid receipt for a dividend (or other amount) payable in respect of that Share.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230"/>
        <w:gridCol w:w="20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2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380"/>
        <w:gridCol w:w="324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resolve to capitalise: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part of the Company’s profits not required for paying any preferential dividend (whether or not those profits are available for distribution); or</w:t>
            </w:r>
          </w:p>
        </w:tc>
      </w:tr>
    </w:tbl>
    <w:p>
      <w:pPr>
        <w:pStyle w:val="TextBody"/>
        <w:bidi w:val="0"/>
        <w:spacing w:before="0" w:after="0"/>
        <w:ind w:left="1559" w:right="0" w:hanging="711"/>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245"/>
        <w:gridCol w:w="8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sum standing to the credit of the Company’s share premium account or capital redemption reserve,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1559" w:right="0" w:hanging="71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30"/>
        <w:gridCol w:w="48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paying up the amounts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sz w:val="20"/>
              </w:rPr>
              <w:t>Original Shares</w:t>
            </w:r>
            <w:r>
              <w:rPr>
                <w:rFonts w:ascii="Times New Roman;Times;Serif" w:hAnsi="Times New Roman;Times;Serif"/>
                <w:sz w:val="20"/>
              </w:rPr>
              <w:t>) rank for dividend only to the extent that the Original Shares rank for dividend while those Original Shares remain Partly Paid Up.</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6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30"/>
        <w:gridCol w:w="21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2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380"/>
        <w:gridCol w:w="579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amounts shall be debited to any 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redemption or purchase of a Share, the difference between the nominal value of that Share and the redemption or purchase price; and</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245"/>
        <w:gridCol w:w="64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amount paid out of a share premium account as permitted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141"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75"/>
        <w:gridCol w:w="230"/>
        <w:gridCol w:w="4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Seal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141"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380"/>
        <w:gridCol w:w="48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26.1</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have a seal if the Directors so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6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245"/>
        <w:gridCol w:w="30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 single Director (or his alternate).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380"/>
        <w:gridCol w:w="89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26.4</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do not adopt a seal, or a seal is not used, a document may be executed in the following manner:</w:t>
            </w:r>
          </w:p>
        </w:tc>
      </w:tr>
    </w:tbl>
    <w:p>
      <w:pPr>
        <w:pStyle w:val="TextBody"/>
        <w:bidi w:val="0"/>
        <w:spacing w:before="0" w:after="0"/>
        <w:ind w:left="1559" w:right="0" w:hanging="71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245"/>
        <w:gridCol w:w="32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single Director (or his alternate); or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230"/>
        <w:gridCol w:w="34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manner permitted by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380"/>
        <w:gridCol w:w="59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26.5</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that either or both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seal or a duplicate seal need not be affixed manually but may be affixed by some other method or system of reproduction;</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45"/>
        <w:gridCol w:w="9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signature required by these Articles need not be manual but may be a mechanical or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5"/>
        <w:gridCol w:w="230"/>
        <w:gridCol w:w="9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the existing or former Director (including alternate Director), Secretary or Officer in or about the conduct of the Company’s business or affairs or int he execution or discharge of the existing or former Director’s (including alternate Director’s), Secretary’s or Officer’s duties, powers, authorities or discretions; and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6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1559" w:right="0" w:hanging="711"/>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230"/>
        <w:gridCol w:w="75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existing or former Director (including alternate Director), Secretary or Officer or auditor of:</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00"/>
        <w:gridCol w:w="11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260"/>
        <w:gridCol w:w="462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which is or was a subsidiary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320"/>
        <w:gridCol w:w="71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in which the Company has or had an interest (whether direct or indirect); and</w:t>
            </w:r>
          </w:p>
        </w:tc>
      </w:tr>
    </w:tbl>
    <w:p>
      <w:pPr>
        <w:pStyle w:val="TextBody"/>
        <w:bidi w:val="0"/>
        <w:spacing w:before="0" w:after="0"/>
        <w:ind w:left="2267"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2267" w:right="0" w:hanging="70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trustee of an employee or retirement benefits scheme or other trust in which any of the persons referred to in paragraph (a) is or was interested.</w:t>
            </w:r>
          </w:p>
        </w:tc>
      </w:tr>
    </w:tbl>
    <w:p>
      <w:pPr>
        <w:pStyle w:val="TextBody"/>
        <w:bidi w:val="0"/>
        <w:spacing w:before="0" w:after="0"/>
        <w:ind w:left="141"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75"/>
        <w:gridCol w:w="230"/>
        <w:gridCol w:w="6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6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Notices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1559" w:right="0" w:hanging="711"/>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30"/>
        <w:gridCol w:w="77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writing signed by or on behalf of the giver in the manner set out below for written notices;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 these Articles expressly permit, by the Company by means of a website.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380"/>
        <w:gridCol w:w="58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28.2</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notice may only be given to the Company in an Electronic Record if:</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230"/>
        <w:gridCol w:w="4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so resolve or otherwise accept the notice;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not be given by Electronic Record to a person other than the Company unless the recipient has provided the giver of the notice with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and the Member have agreed to his having access to the notice or document on a website (instead of it being sent to him);</w:t>
            </w:r>
          </w:p>
        </w:tc>
      </w:tr>
    </w:tbl>
    <w:p>
      <w:pPr>
        <w:pStyle w:val="TextBody"/>
        <w:bidi w:val="0"/>
        <w:spacing w:before="0" w:after="0"/>
        <w:ind w:left="710" w:right="0" w:hanging="710"/>
        <w:jc w:val="righ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45"/>
        <w:gridCol w:w="51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one to which that agreement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559" w:right="0" w:hanging="711"/>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200"/>
        <w:gridCol w:w="45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publication of the notice or document on a website;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60"/>
        <w:gridCol w:w="25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that website; and</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320"/>
        <w:gridCol w:w="860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on that website where the notice or document may be accessed, and how it may be accessed;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Members are joint holders of a Share, all notices shall be given to the Member whose name first appears in the register of Members.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7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485"/>
        <w:gridCol w:w="52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28.10</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Electronic Record may be signed by an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an address has been supplied, a notice may be given in any manner in which it might have been given if the death or bankruptcy had not occurred.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485"/>
        <w:gridCol w:w="500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28.16</w:t>
            </w:r>
          </w:p>
        </w:tc>
        <w:tc>
          <w:tcPr>
            <w:tcW w:w="5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notice is given on the date identified in the following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75" w:type="dxa"/>
          <w:bottom w:w="28" w:type="dxa"/>
          <w:right w:w="28"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7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28.17</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141"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230"/>
        <w:gridCol w:w="32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3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Authentication of Electronic Records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Member or each Member,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one or more of those Members;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559" w:right="0" w:hanging="71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230"/>
        <w:gridCol w:w="2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Secretary or the Officer or each Officer,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the Secretary or one or more of those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7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230"/>
        <w:gridCol w:w="2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written resolution or other document under these Articles will not be deemed to be authentic if the recipient,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230"/>
        <w:gridCol w:w="93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signature of the signatory has been altered after the signatory had signed the original document;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230"/>
        <w:gridCol w:w="61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otherwise doubts the authenticity of the Electronic Record of the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708"/>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230"/>
        <w:gridCol w:w="2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2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380"/>
        <w:gridCol w:w="9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30.1</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by Special Resolution, resolve to be registered by way of continuation in a jurisdiction outside:</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Cayman Islands; or</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245"/>
        <w:gridCol w:w="74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jurisdiction in which it is, for the time being, incorporated, registered or existing.</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7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380"/>
        <w:gridCol w:w="899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30.2</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any resolution made pursuant to the preceding Article, the Directors may cause the following: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such further steps as they consider appropriate to be taken to effect the transfer by way of continuation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75"/>
        <w:gridCol w:w="230"/>
        <w:gridCol w:w="10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Members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380"/>
        <w:gridCol w:w="692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shall be compelled to accept any assets if an obligation attaches to them.</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380"/>
        <w:gridCol w:w="495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are authorised to present a winding up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141"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230"/>
        <w:gridCol w:w="36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36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Amendment of Memorandum and Articles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380"/>
        <w:gridCol w:w="50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Act,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30"/>
        <w:gridCol w:w="16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its name;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provisions of its Memorandum with respect to its objects, powers or any other matter specified in the Memorandum.</w:t>
            </w:r>
          </w:p>
        </w:tc>
      </w:tr>
    </w:tbl>
    <w:p>
      <w:pPr>
        <w:pStyle w:val="TextBody"/>
        <w:bidi w:val="0"/>
        <w:spacing w:before="0" w:after="0"/>
        <w:ind w:left="1559" w:right="0" w:hanging="71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7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0" w:name="b_002"/>
      <w:bookmarkEnd w:id="30"/>
      <w:r>
        <w:rPr>
          <w:rFonts w:ascii="Times New Roman;Times;Serif" w:hAnsi="Times New Roman;Times;Serif"/>
          <w:b/>
          <w:i w:val="false"/>
          <w:caps w:val="false"/>
          <w:smallCaps w:val="false"/>
          <w:sz w:val="20"/>
        </w:rPr>
        <w:t>Annex B1</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drawing>
          <wp:inline distT="0" distB="0" distL="0" distR="0">
            <wp:extent cx="6991350" cy="90487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75"/>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FRANCISCO V. AGUILAR Secretary of State 401 North Carson Street Carson City, Nevada 89701-4201 (775) 684-5708 Website: www.nvsos.gov www.nvsilverflume.gov ABOVE SPACE IS FOR OFFICE USE ONLY Formation - Profit Corporation NRS 78 - Articles of Incorporation Domestic Corporation NRS 80 - Foreign Corporation NRS 89 - Articles of Incorporation Professional Corporation 78A Formation - Close Corporation (Name of Close Corporation MUST appear in the below heading) Articles of Formation of ______________________________________________ a close corporation (NRS 78A) TYPE OR PRINT - USE DARK INK ONLY - DO NOT HIGHLIGHT 1. Name of Entity: (If foreign, name in home jurisdiction) Commercial Registered Agent:(name only below) Noncommercial Registered Agent (name and address below) Office or Position with Entity (title and address below) Name of Registered Agent OR Title of Office or Position with Entity Nevada Street Address City Zip Code Nevada Mailing Address (if different from street address) City Zip Code 4. Names and Addresses of the Board of Directors/ Trustees or Stockholders (NRS 78: Board of Directors/ Trustees is required. NRS 78a: Required if the Close Corporation is governed by a board of directors. NRS 89: Required to have the Original stockholders and directors. A certificate from the regulatory board must be submitted showing that each individual is licensed at the time of filing. See instructions) 3. Governing Board: (NRS 78A, close corporation only, check one box; if yes, complete article 4 below) 1) Name Street Address City 2) Name Street Address City 2. Registered Agent for Service of Process: (Check only one box) 2a. Certificate of Acceptance of Appointment of Registered Agent: I hereby accept appointment as Registered Agent for the above named Entity. If the registered agent is unable to sign the Articles of Incorporation, submit a separate signed Registered Agent Acceptance form. X __________________________________________________________________________ Authorized Signature of Registered Agent or On Behalf of Registered Agent Entity Date 3) Street Address City Name This corporation is a close corporation operating with a board of directors Yes OR No State Zip/Postal Code 5b. I declare this entity is in good standing in the jurisdiction of its incorporation. 5. Jurisdiction of Incorporation: (NRS 80 only) 5a. Jurisdiction of incorporation: Country State Zip/Postal Code Country State Zip/Postal Code Country This form must be accompanied by appropriate fees. Page 1 of 2 Revised: 5/22/2024 NRS 80 - Foreign Corporation Professional Corporation Universal Registered Agents, Inc. Etoiles Capital Group Co., Ltd. 321 West Winnie Lane #104 Carson City 89703 Kit Shing, CHEUNG Hong Kong Unit 03-04, 25/F, Cosco Tower, 183 Queen’s Road Central Sheung Wan 0000 Wesley CHU Hong Kong Unit 03-04, 25/F, Cosco Tower, 183 Queen's Road Central Sheung Wan 0000 Yeung Tak, CHEN Hong Kong Unit 03-04, 25/F, Cosco Tower, 183 Queen's Road Central Sheung Wan 0000</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76"/>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 xml:space="preserve">FRANCISCO V. AGUILAR Secretary of State 401 North Carson Street Carson City, Nevada 89701-4201 (775) 684-5708 Website: www.nvsos.gov www.nvsilverflume.gov Formation </w:t>
        <w:softHyphen/>
        <w:t xml:space="preserve"> Profit Corporation Continued, Page 2 By selecting "Yes" you are indicating that the corporation is organized as a benefit corporation pursuant to NRS Chapter 78B with a purpose of creating a general or specific public benefit. The purpose for which the benefit corporation is created must be disclosed in the below purpose field. Yes Number of Authorized shares with Par value: Number of Common shares with Par value: Number of Preferred shares with Par value: Number of shares with no par value: If more than one class or series of stock is authorized, please attach the information on an additional sheet of paper. Par value: $ Par value: $ 6. Benefit Corporation: (For NRS 78, NRS 78A, and NRS 89, optional. See instructions.) 7. Purpose/Profession to be practiced: (Required for NRS 80, NRS 89 and any entity selecting Benefit Corporation. See instructions.) 8. Authorized Shares: (Number of shares corporation is authorized to issue NRS 80: Must include copy of the most recently filed in home jurisdiction setting forth the authorized stock of the corporation.) I declare, to the best of my knowledge under penalty of perjury, that the information contained herein is correct and acknowledge that pursuant to NRS 239.330, it is a category C felony to knowingly offer any false or forged instrument for filing in the Office of the Secretary of State. X _________________________________________ Name 9. Name and Signature of: Officer making the statement or Authorized Signer for NRS 80. Name, Address and Signature of the Incorporator for NRS 78, 78A, and 89. NRS 89 - Each Organizer/ Incorporator must be a licensed professional. City State Zip/Postal Code Please include any required or optional information in space below: (attach additional page(s) if necessary) AN INITIAL LIST OF OFFICERS MUST ACCOMPANY THIS FILING Country (attach additional page if necessary) Address This form must be accompanied by appropriate fees. Page 2 of 2 Revised: 5/21/2024 Par value: $ Foreign Corporations, NRS 80 only: This is a corporation is a non-stock corporation. This is a corporation is a unlimited stock corporation Please indicate the break down of all corporate shares and the par value. 0.0001 450,000,000 All legal acts. 450,000,000 0.0001 0 0 Kit Shing, CHEUNG Hong Kong Unit 03-04, 25/F, Cosco Tower, 183 Queen's Road Central Sheung Wan 0000 Addendum Attached. 450,000,000 0.0001</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77"/>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Initial List and State Business License Application Initial List of Officers, Managers, Members, General Partners, Managing Partners, or Trustees: NAME OF ENTITY TYPE OR PRINT ONLY - USE DARK INK ONLY - DO NOT HIGHLIGHT IMPORTANT: Read instructions before completing and returning this form. Please indicate the entity type (check only one): Corporation This corporation is publicly traded, the Central Index Key number is: Nonprofit Corporation (see nonprofit sections below) Limited-Liability Company Limited Partnership Limited-Liability Partnership Limited-Liability Limited Partnership (If formed at the same time as the Limited Partnership) Business Trust Additional Officers, Managers, Members, General Partners, Managing Partners, Trustees or Subscribers, may be listed on a supplemental page. CHECK ONLY IF APPLICABLE Pursuant to NRS Chapter 76, this entity is exempt from the business license fee. 001 - Governmental Entity 006 - NRS 680B.020 Insurance Co, provide license or certificate of authority number For nonprofit entities formed under NRS Chapter 80: entities without 501(c) nonprofit designation are required to maintain a state business license, the fee is $200.00. Those claiming an exemption under 501(c) designation must indicate by checking box below. Pursuant to NRS Chapter 76, this entity is a 501(c) nonprofit entity and is exempt from the business license fee. Exemption code 002 For nonprofit entities formed under NRS Chapter 81: entities which are Unit-owners' association or Religious, charitable, fraternal or other organization that qualifies as a tax-exempt organization pursuant to 26 U.S.C. § 501(c) are excluded from the requirement to obtain a state business license. Please indicate below if this entity falls under one of these categories by marking the appropriate box. If the entity does not fall under either of these categories please submit $200.00 for the state business license. Unit-owners' Association Religious, charitable, fraternal or other organization that qualifies as a tax-exempt organization pursuant to 26 U.S.C. § 501(c) For nonprofit entities formed under NRS Chapter 82 and 80: Charitable Solicitation Information - check applicable box Does the Organization intend to solicit charitable or tax deductible contributions? No – no additional form is required Yes – the "Charitable Solicitation Registration Statement" is required. The Organization claims exemption pursuant to NRS 82A.210 - the "Exemption From Charitable Solicitation Registration Statement" is required ** Failure to include the required statement form will result in rejection of the filing and could result in late fees.** Page 1 of 2 Revised: 8/1/2023 FRANCISCO V. AGUILAR Secretary of State 401 North Carson Street Carson City, Nevada 89701-4201 (775) 684-5708 Website: www.nvsos.gov www.nvsilverflume.gov Etoiles Capital Group Co., Ltd. 0002058349</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B1-3</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78"/>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Initial List and State Business License Application - Continued Officers, Managers, Members, General Partners, Managing Partners or Trustees: None of the officers or directors identified in the list of officers has been identified with the fraudulent intent of concealing the identity of any person or persons exercising the power or authority of an officer or director in furtherance of any unlawful conduct. I declare, to the best of my knowledge under penalty of perjury, that the information contained herein is correct and acknowledge that pursuant to NRS 239.330, it is a category C felony to knowingly offer any false or forged instrument for filing in the Office of the Secretary of State. Signature of Officer, Manager, Managing Title Date Member, General Partner, Managing Partner, Trustee, Member, Owner of Business, Partner or Authorized Signer FORM WILL BE RETURNED IF UNSIGNED. Page 2 of 2 Revised: 8/1/2023 X FRANCISCO V. AGUILAR Secretary of State 401 North Carson Street Carson City, Nevada 89701-4201 (775) 684-5708 Website: www.nvsos.gov www.nvsilverflume.gov Chief Executive Officer Kit Shing, CHEUNG Hong Kong Unit 03-04, 25/F, Cosco Tower, 183 Queen's Road Central Sheung Wan 0000 Chief Financial Officer Hon Fai, TAM Hong Kong Unit 03-04, 25/F, Cosco Tower, 183 Queen's Road Central Sheung Wan 0000 Chief Financial Officer Hon Fai, TAM Hong Kong Unit 03-04, 25/F, Cosco Tower, 183 Queen's Road Central Sheung Wan 0000 Kit Shing, CHEUNG Hong Kong Unit 03-04, 25/F, Cosco Tower, 183 Queen's Road Central Sheung Wan 0000 Chief Executive Officer</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bookmarkStart w:id="31" w:name="b_005"/>
      <w:bookmarkEnd w:id="31"/>
      <w:r>
        <w:rPr>
          <w:rFonts w:ascii="Times New Roman;Times;Serif" w:hAnsi="Times New Roman;Times;Serif"/>
          <w:b/>
          <w:i w:val="false"/>
          <w:caps w:val="false"/>
          <w:smallCaps w:val="false"/>
          <w:sz w:val="20"/>
        </w:rPr>
        <w:t>Annex B2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TO</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ARTICLES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ETOILES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Incorporation of Etoiles Capital Group Co., Ltd. (the “Corporation”) are hereby supplemented with the following additions to Articles 8-9 and the addition of Articles 10-14.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authority to issue 450,000,000 common voting shares having a par value of $0.0001 per share (“Common Stock”). All Common Stock of the Corporation shall be of the same class and shall have the same rights and preferences. Fully-paid stock of the Corporation shall not be liable to any further call or assessment.</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governing board of this Corporation shall be known as directors. The number of directors shall be not less than one (1) nor more than fifteen (15) and may from time-to-time be increased or decreased in such manner as shall be provided in the bylaws of this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liability of the directors and officers of the Corporation is hereby eliminated to the fullest extent permitted by the provisions of the Nevada Revised Statues and particularly Section 78.138(7) thereof, as the same may be amended and supplemented from time-to-time.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Nevada Revised Statutes, as the same exist or may be amended, the Corporation shall indemnify and advance expenses to any person who incurs expenses or liabilities for any action taken, or any failure to take any action, while serving as a director or officer of the Corporation, or while serving at the request of the Corporation as a director, officer, partner, trustee, manager, employee, or agent of another foreign or domestic corporation, partnership, limited liability company, joint venture, trust, employee benefit plan, or other entity. The foregoing indemnification and advancement of expenses shall be mandatory in all circumstances in which the same are permitted by law. No repeal, amendment, or modification of this article, whether direct or indirect, shall eliminate or reduce its effect with respect to any matter giving rise to indemnification and advancement of expenses occurring prior to such repeal, amendment or modification.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CONTROLLING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elects not to be governed by the terms and provisions of Sections 78.378 through 78.3793, inclusive of the Nevada Revised Statutes, as the same may be amended, superseded, or replaced by any successor section, statute, or provision. No amendment to these Articles of Incorporation, directly or indirectly, by merger or consolidation or otherwise, having the effect of amending or repealing any provision of this Article 12 shall apply to or have any effect on any transaction involving acquisition of control by any person occurring prior to such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elects not to be governed by the terms and provisions of Section 78.411 through 78.444, inclusive, of the Nevada Revised Statutes, as the same may be amended, superseded, or replaced by any successor section, statute, or provision. No amendment to these Articles of Incorporation, directly or indirectly, by merger or consolidation or otherwise, having the effect of amending or repealing any provision of this Article 10 shall apply to or have any effect on any transaction with an interested stockholder occurring prior to such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any of the provisions of these Articles of Incorporation may be amended, altered, or repealed, and other provisions authorized by the laws of the State of Nevada at the time in force may be added or inserted in the manner and at the time prescribed by such laws, and all rights at any time conferred upon the stockholders of the Corporation by these Articles of Incorporation are granted subject to the provisions of this Article 14.</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shall have the power to make, alter, amend, or repeal the bylaws of the Corporation, except to the extent that the bylaws otherwise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2" w:name="b_003"/>
      <w:bookmarkEnd w:id="32"/>
      <w:r>
        <w:rPr>
          <w:rFonts w:ascii="Times New Roman;Times;Serif" w:hAnsi="Times New Roman;Times;Serif"/>
          <w:b/>
          <w:i w:val="false"/>
          <w:caps w:val="false"/>
          <w:smallCaps w:val="false"/>
          <w:sz w:val="20"/>
        </w:rPr>
        <w:t>Annex C</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br/>
        <w:t>OF</w:t>
        <w:br/>
        <w:t>ETOILES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on August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Registered Office.</w:t>
      </w:r>
      <w:r>
        <w:rPr>
          <w:rFonts w:ascii="Times New Roman;Times;Serif" w:hAnsi="Times New Roman;Times;Serif"/>
          <w:b w:val="false"/>
          <w:i w:val="false"/>
          <w:caps w:val="false"/>
          <w:smallCaps w:val="false"/>
          <w:sz w:val="20"/>
        </w:rPr>
        <w:t xml:space="preserve"> The registered office and registered agent of Etoiles Capital Group Co., Ltd.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shall be as from time to time set forth in the Corporation’s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Other Offices.</w:t>
      </w:r>
      <w:r>
        <w:rPr>
          <w:rFonts w:ascii="Times New Roman;Times;Serif" w:hAnsi="Times New Roman;Times;Serif"/>
          <w:b w:val="false"/>
          <w:i w:val="false"/>
          <w:caps w:val="false"/>
          <w:smallCaps w:val="false"/>
          <w:sz w:val="20"/>
        </w:rPr>
        <w:t xml:space="preserve"> The Corporation may also have offices at such other places, both within and without the State of Nevada, as the Board of Directors may from time to time determine or the business of the Corporation may require.</w:t>
      </w:r>
    </w:p>
    <w:p>
      <w:pPr>
        <w:pStyle w:val="TextBody"/>
        <w:bidi w:val="0"/>
        <w:spacing w:before="0" w:after="0"/>
        <w:ind w:left="90" w:right="0" w:hanging="0"/>
        <w:jc w:val="center"/>
        <w:rPr>
          <w:caps/>
        </w:rPr>
      </w:pPr>
      <w:r>
        <w:rPr>
          <w:caps/>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STOCKHOLDERS’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Place of Meetings.</w:t>
      </w:r>
      <w:r>
        <w:rPr>
          <w:rFonts w:ascii="Times New Roman;Times;Serif" w:hAnsi="Times New Roman;Times;Serif"/>
          <w:b w:val="false"/>
          <w:i w:val="false"/>
          <w:caps w:val="false"/>
          <w:smallCaps w:val="false"/>
          <w:sz w:val="20"/>
        </w:rPr>
        <w:t xml:space="preserve"> Meetings of stockholders may be held at such time and place, within or without the State of Nevada, as shall be stated in the notice of the meeting or in a duly executed waiver of notice thereof. Stockholders and certain other persons permitted by the Corporation to attend a meeting of stockholders may participate in the meeting through remote communication, including, without limitation, electronic communications, videoconferencing, teleconferencing or other available technology, if the Corporation has implemented reasonable measures to (a) verify the identity of each person participating through such means as a stockholder or permitted person and (b) provide the stockholders a reasonable opportunity to participate in the meeting and to vote on matters submitted to the stockholders, including an opportunity to communicate, and to read or hear the proceedings of the meetings in a substantially concurrent manner with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Annual Meeting.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 annual meeting of the stockholders, only such business shall be conducted as shall have been properly brought before the meeting. For nominations or other business to be properly brought before an annual meeting by a stockholder pursuant to clause (iii) of paragraph (a) of this Section, (i) the stockholder must have given timely notice thereof in writing to the Secretary of the Corporation, (ii) such other business must be a proper matter for stockholder action under the Nevada Revised Statutes, (iii) if the stockholder, or the beneficial owner on whose behalf any such proposal or nomination is made, has provided the Corporation with a Solicitation Notice (as defined in this Section),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by registered mail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received (i) not earlier than the close of business on the one hundred twentieth (120th) day prior to the currently proposed annual meeting and not later than the close of business on the later of the ninetieth (90th) day prior to such annual meeting or (ii) by the tenth (10th) business day following the day on which public announcement of the date of such meeting is first made, whichever of (i) or (ii) occurs first. In the event that an annual meeting has not been previously held, notice by the stockholder to be timely must be so received not later than the close of business on the tenth (10th) business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Times New Roman;Times;Serif" w:hAnsi="Times New Roman;Times;Serif"/>
          <w:b/>
          <w:i w:val="false"/>
          <w:caps w:val="false"/>
          <w:smallCaps w:val="false"/>
          <w:sz w:val="20"/>
        </w:rPr>
        <w:t>Solicitation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Only such persons who are nominated in accordance with the procedures set forth in this Section shall be eligible to serve as directors and only such business shall be conducted at a meeting of stockholders as shall have been brought before the meeting in accordance with the procedures set forth in this Section.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Corporation’s proxy statement pursuant to Rule 14a-8 under the 1934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this Section, “public announcement” shall mean disclosure in a press release reported by the Dow Jones News Service, Associated Press, Accesswire, Market Wire or comparable national news service or in a document publicly filed by the Corporation with the Securities and Exchange Commission pursuant to Section 13, 14 or 15(d)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xml:space="preserve"> Special meetings of the stockholders, for any purpose or purposes, unless otherwise prescribed by law, by the Articles of Incorporation or by these Bylaws, may be called by the Chairman of the Board of Directors, the Chief Executive Officer or the President, or shall be called by any of the foregoing at the request in writing of a majority of the Board of Directors. Such request shall state the purpose or purposes of the proposed meeting. Business transacted at all special meetings shall be confined to the purposes stated in the notice of the meeting unless all stockholders entitled to vote are present and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Notice of Meetings.</w:t>
      </w:r>
      <w:r>
        <w:rPr>
          <w:rFonts w:ascii="Times New Roman;Times;Serif" w:hAnsi="Times New Roman;Times;Serif"/>
          <w:b w:val="false"/>
          <w:i w:val="false"/>
          <w:caps w:val="false"/>
          <w:smallCaps w:val="false"/>
          <w:sz w:val="20"/>
        </w:rPr>
        <w:t xml:space="preserve"> Written notice stating (a) the date and time of the meeting, (b) the means of remote communication, if any, by which stockholders and proxies shall be deemed to be present in person and vote at the meeting, (c) unless the meeting is to be held solely by remote communication, the physical location of the meeting, and (d) except in the case of the annual meeting, the purpose or purposes for which the meeting is called, must be delivered personally, mailed postage prepaid or delivered as provided in Section 7.1 to each stockholder of record entitled to vote at the meeting not less than ten (10) nor more than sixty (60) days before the meeting. If mailed, it must be directed to the stockholder at his or her address as it appears upon the records of the Corporation. Without limiting the foregoing, to the extent permitted by NRS 78.370(9), the Corporation may satisfy applicable notice requirements through the timely filing of a proxy statement or amendment thereto pursuant to Section 14(a)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Quorum; Adjournment.</w:t>
      </w:r>
      <w:r>
        <w:rPr>
          <w:rFonts w:ascii="Times New Roman;Times;Serif" w:hAnsi="Times New Roman;Times;Serif"/>
          <w:b w:val="false"/>
          <w:i w:val="false"/>
          <w:caps w:val="false"/>
          <w:smallCaps w:val="false"/>
          <w:sz w:val="20"/>
        </w:rPr>
        <w:t xml:space="preserve"> At all meetings of the stockholders, the presence in person or by proxy of the holders of one-third of the shares issued and outstanding and entitled to vote shall be necessary and sufficient to constitute a quorum for the transaction of business, except as otherwise provided by law, by the Articles of Incorporation or by these Bylaws. If a meeting of stockholders is adjourned, notice of the following information need not be delivered if the information is announced at the meeting at which the adjournment is taken: (a) the date and time of the adjourned meeting; (b) the means of remote communication, if any, by which stockholders and proxies shall be deemed to be present in person and vote at the adjourned meeting; and (c) unless the adjourned meeting is to be held solely by remote communication, the physical location of the adjourned meeting. If a new record date is fixed for an adjourned or postponed meeting, notice of the adjourned or postponed meeting must be delivered to each stockholder of record as of the new record date. At such adjourned meeting at which a quorum shall be present or represented, any business may be transacted which might have been transacted at the meeting as originally notified.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Voting.</w:t>
      </w:r>
      <w:r>
        <w:rPr>
          <w:rFonts w:ascii="Times New Roman;Times;Serif" w:hAnsi="Times New Roman;Times;Serif"/>
          <w:b w:val="false"/>
          <w:i w:val="false"/>
          <w:caps w:val="false"/>
          <w:smallCaps w:val="false"/>
          <w:sz w:val="20"/>
        </w:rPr>
        <w:t xml:space="preserve"> Each outstanding share of the Corporation’s capital stock shall be entitled to one vote on each matter submitted to a vote at a meeting of stockholders, except to the extent that the voting rights of the shares of any class or classes are otherwise provided by applicable law or the Articles of Incorporation. When a quorum is present at any meeting of the Corporation’s stockholders, action by the stockholders on a matter other than the election of directors is approved if the number of votes cast in favor of the action exceeds the number of votes cast in opposition to the action, unless the question is one upon which, by express provision of law, the Articles of Incorporation or these Bylaws, a different vote is required, in which case such express provision shall govern and control the decision of such question. Voting for directors shall be in accordance with Section 3.2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Proxies.</w:t>
      </w:r>
      <w:r>
        <w:rPr>
          <w:rFonts w:ascii="Times New Roman;Times;Serif" w:hAnsi="Times New Roman;Times;Serif"/>
          <w:b w:val="false"/>
          <w:i w:val="false"/>
          <w:caps w:val="false"/>
          <w:smallCaps w:val="false"/>
          <w:sz w:val="20"/>
        </w:rPr>
        <w:t xml:space="preserve"> Each stockholder entitled to vote at a meeting of stockholders or to express consent or dissent to corporate action in writing without a meeting may authorize another person or persons to act for such stockholder by proxy. Without limiting the manner in which a stockholder may authorize another person or persons to act for him or her as proxy, a stockholder may sign a writing authorizing another person or persons to act for him or her as proxy. Any copy, communication by electronic transmission or other reliable reproduction of the writing may be substituted for the original writing for any purpose for which the original writing could be used, if the copy, communication by electronic transmission or other reproduction is a complete reproduction of the entire original writing. Except as otherwise provided below, no such proxy is valid after the expiration of six (6) months from the date of its creation unless the stockholder specifies in it the length of time for which it is to continue in force, which may not exceed seven (7) years from the date of its creation. A proxy shall be deemed irrevocable if the written authorization states that the proxy is irrevocable, but is irrevocable only for as long as it is coupled with an interest sufficient in law to support an irrevocable power. Unless otherwise provided in the proxy, a proxy made irrevocable is revoked when the interest with which it is coupled is extinguished, but the Corporation may honor the proxy until notice of the extinguishment of the proxy is received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Record Date; Closing Transfer Books.</w:t>
      </w:r>
      <w:r>
        <w:rPr>
          <w:rFonts w:ascii="Times New Roman;Times;Serif" w:hAnsi="Times New Roman;Times;Serif"/>
          <w:b w:val="false"/>
          <w:i w:val="false"/>
          <w:caps w:val="false"/>
          <w:smallCaps w:val="false"/>
          <w:sz w:val="20"/>
        </w:rPr>
        <w:t xml:space="preserve"> The Board of Directors may fix in advance a record date for the purpose of determining stockholders entitled to notice of or to vote at a meeting of stockholders, such record date to be not less than ten (10) nor more than sixty (60) days prior to such meeting, or the Board of Directors may close the stock transfer books for such purpose for a period of not less than ten (10) nor more than sixty (60) days prior to such meeting. If a record date for a meeting of stockholders is not fixed by the Board of Directors, the record date is at the close of business on the day before the day on which the first notice is given or, if notice is waived, at the close of business on the day before the meeting is held. A determination of stockholders of record entitled to notice of or to vote at a meeting of stockholders applies to any adjournment or postponement of the meeting unless the Board of Directors fixes a new record date for the adjourned or postponed meeting. The Board of Directors must fix a new record date if the meeting is adjourned or postponed to a date more than 60 days later than the meeting date set for the original meeting. With respect to stockholder action by written consent, the Board of Directors may fix a record date for determining the stockholders entitled to consent to corporate action in writing without a meeting in the manner and within the period prescribed by the NRS 78.350(6). If the Board of Directors does not fix such a record date, the record date shall be determined in accordance with the NRS 78.350(7).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Action by Consent.</w:t>
      </w:r>
      <w:r>
        <w:rPr>
          <w:rFonts w:ascii="Times New Roman;Times;Serif" w:hAnsi="Times New Roman;Times;Serif"/>
          <w:b w:val="false"/>
          <w:i w:val="false"/>
          <w:caps w:val="false"/>
          <w:smallCaps w:val="false"/>
          <w:sz w:val="20"/>
        </w:rPr>
        <w:t xml:space="preserve"> Any action required or permitted by law, the Articles of Incorporation or these Bylaws to be taken at a meeting of the stockholders of the Corporation may be taken without a meeting if a consent or consents in writing, setting forth the action so taken, shall be signed by stockholders holding at least a majority of the voting power; provided that if a different proportion of voting power is required for such an action at a meeting, then that proportion of written consents is required.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 xml:space="preserve"> The business and affairs of the Corporation shall be managed by or under the direction of the Board of Directors, who may exercise all such powers of the Corporation and do all such lawful acts and things as are not by law, the Articles of Incorporation, a stockholders’ agreement or these Bylaws directed or required to be exercised or done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Qualification; Election; Term.</w:t>
      </w:r>
      <w:r>
        <w:rPr>
          <w:rFonts w:ascii="Times New Roman;Times;Serif" w:hAnsi="Times New Roman;Times;Serif"/>
          <w:b w:val="false"/>
          <w:i w:val="false"/>
          <w:caps w:val="false"/>
          <w:smallCaps w:val="false"/>
          <w:sz w:val="20"/>
        </w:rPr>
        <w:t xml:space="preserve"> None of the directors need be a stockholder of the Corporation or a resident of the State of Nevada. The directors shall be elected by plurality vote at the annual meeting of the stockholders, except as hereinafter provided, and each director elected shall hold office until his successor shall be elected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Number.</w:t>
      </w:r>
      <w:r>
        <w:rPr>
          <w:rFonts w:ascii="Times New Roman;Times;Serif" w:hAnsi="Times New Roman;Times;Serif"/>
          <w:b w:val="false"/>
          <w:i w:val="false"/>
          <w:caps w:val="false"/>
          <w:smallCaps w:val="false"/>
          <w:sz w:val="20"/>
        </w:rPr>
        <w:t xml:space="preserve"> The number of directors of the Corporation shall be fixed as the Board of Directors may from time to time designate. No decrease in the number of directors shall have the effect of shortening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Resignation.</w:t>
      </w:r>
      <w:r>
        <w:rPr>
          <w:rFonts w:ascii="Times New Roman;Times;Serif" w:hAnsi="Times New Roman;Times;Serif"/>
          <w:b w:val="false"/>
          <w:i w:val="false"/>
          <w:caps w:val="false"/>
          <w:smallCaps w:val="false"/>
          <w:sz w:val="20"/>
        </w:rPr>
        <w:t xml:space="preserve"> Any director may resign at any time by delivering written notice to the Board of Directors, the Chairman of the Board or the Secretary. Such resignation shall be effective upon receipt unless the notice specifies a later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Removal.</w:t>
      </w:r>
      <w:r>
        <w:rPr>
          <w:rFonts w:ascii="Times New Roman;Times;Serif" w:hAnsi="Times New Roman;Times;Serif"/>
          <w:b w:val="false"/>
          <w:i w:val="false"/>
          <w:caps w:val="false"/>
          <w:smallCaps w:val="false"/>
          <w:sz w:val="20"/>
        </w:rPr>
        <w:t xml:space="preserve"> Any director may be removed either for or without cause only by the affirmative vote of stockholders representing not less than two-thirds of the voting power of the issued and outstanding stock entitled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Vacancies.</w:t>
      </w:r>
      <w:r>
        <w:rPr>
          <w:rFonts w:ascii="Times New Roman;Times;Serif" w:hAnsi="Times New Roman;Times;Serif"/>
          <w:b w:val="false"/>
          <w:i w:val="false"/>
          <w:caps w:val="false"/>
          <w:smallCaps w:val="false"/>
          <w:sz w:val="20"/>
        </w:rPr>
        <w:t xml:space="preserve"> All vacancies on the Board of Directors, including those caused by an increase in the number of directors, may be filled by a majority of the remaining directors, though less than a quorum. A director elected to fill a vacancy shall hold office for the remainder of the term of the directorship in which the vacancy occurred and until such director’s successor is elected and qualified, or until such director’s earlier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Place of Meetings.</w:t>
      </w:r>
      <w:r>
        <w:rPr>
          <w:rFonts w:ascii="Times New Roman;Times;Serif" w:hAnsi="Times New Roman;Times;Serif"/>
          <w:b w:val="false"/>
          <w:i w:val="false"/>
          <w:caps w:val="false"/>
          <w:smallCaps w:val="false"/>
          <w:sz w:val="20"/>
        </w:rPr>
        <w:t xml:space="preserve"> Meetings of the Board of Directors, regular or special, may be held at such place within or without the State of Nevada as may be fixed from time to time by the Board of Directors. The members of the Board of Directors or of any committee thereof may participate in a meeting of the Board or committee through electronic communications, videoconferencing, teleconferencing or other available technology if the Corporation has implemented reasonable measures to (a) verify the identity of each person participating through such means as a director or committee member, as the case may be, and (b) provide the directors or committee members a reasonable opportunity to participate in the meeting and to vote on matters submitted to the directors or committee members, as the case may be, including an opportunity to communicate and to read or hear the proceedings of the meeting in a substantially concurrent manner with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Regular Meetings.</w:t>
      </w:r>
      <w:r>
        <w:rPr>
          <w:rFonts w:ascii="Times New Roman;Times;Serif" w:hAnsi="Times New Roman;Times;Serif"/>
          <w:b w:val="false"/>
          <w:i w:val="false"/>
          <w:caps w:val="false"/>
          <w:smallCaps w:val="false"/>
          <w:sz w:val="20"/>
        </w:rPr>
        <w:t xml:space="preserve"> Regular meetings of the Board of Directors may be held without notice at such time and place as shall from time to time be determined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xml:space="preserve"> Special meetings of the Board of Directors may be called by the Chairman of the Board of Directors, the Chief Executive Officer or the President on oral or written notice to each director, given either personally, by telephone, by mail, by facsimile or by e-mail or other electronic transmission at least twenty-four (24) hours prior to the time of the meeting. Special meetings shall be called by the Chairman of the Board of Directors, the Chief Executive Officer, the President or the Secretary in like manner and on like notice on the written request of any director. Except as may be otherwise expressly provided by law, the Articles of Incorporation or these Bylaws, neither the business to be transacted at, nor the purpose of, any special meeting need to be specified in a notice or waiver of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i w:val="false"/>
          <w:caps w:val="false"/>
          <w:smallCaps w:val="false"/>
          <w:sz w:val="20"/>
        </w:rPr>
        <w:t>Quorum and Voting.</w:t>
      </w:r>
      <w:r>
        <w:rPr>
          <w:rFonts w:ascii="Times New Roman;Times;Serif" w:hAnsi="Times New Roman;Times;Serif"/>
          <w:b w:val="false"/>
          <w:i w:val="false"/>
          <w:caps w:val="false"/>
          <w:smallCaps w:val="false"/>
          <w:sz w:val="20"/>
        </w:rPr>
        <w:t xml:space="preserve"> At all meetings of the Board of Directors the presence of a majority of the number of directors then in office shall be necessary and sufficient to constitute a quorum for the transaction of business, and the affirmative vote of at least a majority of the directors present at any meeting at which there is a quorum shall be the act of the Board of Directors, except as may be otherwise specifically provided by law, the Articles of Incorporation or these Bylaws. If a quorum shall not be present at any meeting of directors, the directors present thereat may adjourn the meeting from time to time without notice other than announcement at the meeting,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i w:val="false"/>
          <w:caps w:val="false"/>
          <w:smallCaps w:val="false"/>
          <w:sz w:val="20"/>
        </w:rPr>
        <w:t>Action by Consent.</w:t>
      </w:r>
      <w:r>
        <w:rPr>
          <w:rFonts w:ascii="Times New Roman;Times;Serif" w:hAnsi="Times New Roman;Times;Serif"/>
          <w:b w:val="false"/>
          <w:i w:val="false"/>
          <w:caps w:val="false"/>
          <w:smallCaps w:val="false"/>
          <w:sz w:val="20"/>
        </w:rPr>
        <w:t xml:space="preserve"> Any action required or permitted to be taken at any meeting of the Board of Directors or any committee thereof may be taken without a meeting by written consent in the manner and to the extent permitted by NRS 78.315,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i w:val="false"/>
          <w:caps w:val="false"/>
          <w:smallCaps w:val="false"/>
          <w:sz w:val="20"/>
        </w:rPr>
        <w:t>Compensation of Directors.</w:t>
      </w:r>
      <w:r>
        <w:rPr>
          <w:rFonts w:ascii="Times New Roman;Times;Serif" w:hAnsi="Times New Roman;Times;Serif"/>
          <w:b w:val="false"/>
          <w:i w:val="false"/>
          <w:caps w:val="false"/>
          <w:smallCaps w:val="false"/>
          <w:sz w:val="20"/>
        </w:rPr>
        <w:t xml:space="preserve"> Directors shall receive such compensation for their services, and reimbursement for their expenses as the Board of Directors, by resolution, shall establish; provided that nothing herein contained shall be construed to preclude any director from serving the Corporation in any other capacity and receiving compensation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i w:val="false"/>
          <w:caps w:val="false"/>
          <w:smallCaps w:val="false"/>
          <w:sz w:val="20"/>
        </w:rPr>
        <w:t>Committees.</w:t>
      </w:r>
      <w:r>
        <w:rPr>
          <w:rFonts w:ascii="Times New Roman;Times;Serif" w:hAnsi="Times New Roman;Times;Serif"/>
          <w:b w:val="false"/>
          <w:i w:val="false"/>
          <w:caps w:val="false"/>
          <w:smallCaps w:val="false"/>
          <w:sz w:val="20"/>
        </w:rPr>
        <w:t xml:space="preserve"> The Board of Directors may, by resolution passed by a majority of the whole Board, designate committees, each committee to consist of one or more directors of the Corporation and such other persons as appointed by the Board of Directors provided at least one member of the Board of Directors serves on such committee, which committees shall have such power and authority and shall perform such functions as may be provided in such resolution. Each committee, to the extent provided in such resolution, shall have and may exercise all of the authority of the Board of Directors in the management of the business and affairs of the Corporation, except where action of the full Board of Directors is required by statute or by the Articles of Incorporation. Unless the Board of Directors shall otherwise provide, regular meetings of the committee appointed pursuant to this Section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In General.</w:t>
      </w:r>
      <w:r>
        <w:rPr>
          <w:rFonts w:ascii="Times New Roman;Times;Serif" w:hAnsi="Times New Roman;Times;Serif"/>
          <w:b w:val="false"/>
          <w:i w:val="false"/>
          <w:caps w:val="false"/>
          <w:smallCaps w:val="false"/>
          <w:sz w:val="20"/>
        </w:rPr>
        <w:t xml:space="preserve"> The officers of the Corporation shall be elected by the Board of Directors and shall be a President, a Secretary, and a Chief Financial Officer, who shall serve as the Treasurer of the Corporation unless the Board of Directors appoints a separate Treasurer. The Board of Directors may also elect a Chairman of the Board, a Chief Executive Officer, and one or more Vice Presidents, Assistant Vice Presidents and Assistant Secretaries. Any two or more offices may be held by the same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Subordinate Officers.</w:t>
      </w:r>
      <w:r>
        <w:rPr>
          <w:rFonts w:ascii="Times New Roman;Times;Serif" w:hAnsi="Times New Roman;Times;Serif"/>
          <w:b w:val="false"/>
          <w:i w:val="false"/>
          <w:caps w:val="false"/>
          <w:smallCaps w:val="false"/>
          <w:sz w:val="20"/>
        </w:rPr>
        <w:t xml:space="preserve"> The Board of Directors may appoint, or may empower the Chairman of the Board of Directors, the Chief Executive Officer, or the President to appoint, such other officers as the business of the Corporation may require, each of whom shall hold office for such period, have such authority and perform such duties as are provided in these Bylaws or as the Board of Directors or such delegate may from time to time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Election and Term.</w:t>
      </w:r>
      <w:r>
        <w:rPr>
          <w:rFonts w:ascii="Times New Roman;Times;Serif" w:hAnsi="Times New Roman;Times;Serif"/>
          <w:b w:val="false"/>
          <w:i w:val="false"/>
          <w:caps w:val="false"/>
          <w:smallCaps w:val="false"/>
          <w:sz w:val="20"/>
        </w:rPr>
        <w:t xml:space="preserve"> The Board of Directors, at its first meeting after each annual meeting of stockholders, shall elect the officers, none of whom need be a member of the Board of Directors. Each officer of the Corporation shall hold office until his death, or his resignation or removal from office, or the election and qualification of his successor, whichever shall first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Resignation.</w:t>
      </w:r>
      <w:r>
        <w:rPr>
          <w:rFonts w:ascii="Times New Roman;Times;Serif" w:hAnsi="Times New Roman;Times;Serif"/>
          <w:b w:val="false"/>
          <w:i w:val="false"/>
          <w:caps w:val="false"/>
          <w:smallCaps w:val="false"/>
          <w:sz w:val="20"/>
        </w:rPr>
        <w:t xml:space="preserve"> Any officer may resign at any time by giving notice in writing or by electronic transmission notice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Removal.</w:t>
      </w:r>
      <w:r>
        <w:rPr>
          <w:rFonts w:ascii="Times New Roman;Times;Serif" w:hAnsi="Times New Roman;Times;Serif"/>
          <w:b w:val="false"/>
          <w:i w:val="false"/>
          <w:caps w:val="false"/>
          <w:smallCaps w:val="false"/>
          <w:sz w:val="20"/>
        </w:rPr>
        <w:t xml:space="preserve"> Any officer or agent elected or appointed by the Board of Directors may be removed at any time, for or without cause, by the affirmative vote of a majority of the Board of Directors, but such removal shall be without prejudice to the contract rights, if any, of the person so removed. If the office of any officer becomes vacant for any reason, the vacancy may be filled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Duties of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Chairman of the Board of Directors</w:t>
      </w:r>
      <w:r>
        <w:rPr>
          <w:rFonts w:ascii="Times New Roman;Times;Serif" w:hAnsi="Times New Roman;Times;Serif"/>
          <w:b w:val="false"/>
          <w:i w:val="false"/>
          <w:caps w:val="false"/>
          <w:smallCaps w:val="false"/>
          <w:sz w:val="20"/>
        </w:rPr>
        <w:t>. The Chairman of the Board of Directors, when present, shall preside at all meetings of the stockholders and the Board of Directors. The Chairman of the Board of Directors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Chief Executive Officer</w:t>
      </w:r>
      <w:r>
        <w:rPr>
          <w:rFonts w:ascii="Times New Roman;Times;Serif" w:hAnsi="Times New Roman;Times;Serif"/>
          <w:b w:val="false"/>
          <w:i w:val="false"/>
          <w:caps w:val="false"/>
          <w:smallCaps w:val="false"/>
          <w:sz w:val="20"/>
        </w:rPr>
        <w:t>. The powers and duties of the Chief Executive Officer are: (a) to act as the general manager and chief executive officer of the Corporation and, subject to the direction of the Board of Directors, to have general supervision, direction and control of the business and affairs of the Corporation; (b) to preside at all meetings of the stockholders and, in the absence of the Chairman of the Board of Directors or if there is no Chairman of the Board of Directors, at all meetings of the Board of Directors; (c) to call meetings of the stockholders and meetings of the Board of Directors to be held at such times and, subject to the limitations prescribed by law or by these Bylaws, at such places as he or she shall deem proper; and (d) to affix the signature of the Corporation to all deeds, conveyances, mortgages, leases, obligations, bonds, certificates and other papers and instruments in writing which have been authorized by the Board of Directors or which, in the judgment of the Chief Executive Officer,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President</w:t>
      </w:r>
      <w:r>
        <w:rPr>
          <w:rFonts w:ascii="Times New Roman;Times;Serif" w:hAnsi="Times New Roman;Times;Serif"/>
          <w:b w:val="false"/>
          <w:i w:val="false"/>
          <w:caps w:val="false"/>
          <w:smallCaps w:val="false"/>
          <w:sz w:val="20"/>
        </w:rPr>
        <w:t>. The powers and duties of the President are: (a) subject to the authority granted to the Chief Executive Officer, if any, to act as the general manager of the Corporation and, subject to the control of the Board of Directors, to have general supervision, direction and control of the business and affairs of the Corporation; (b) to preside at all meetings of the stockholders and Board of Directors in the absence of the Chairman of the Board of Directors and the Chief Executive Officer or if there be no Chairman of the Board of Directors or Chief Executive Officer; and (c) to affix the signature of the Corporation to all deeds, conveyances, mortgages, leases, obligations, bonds, certificates and other papers and instruments in writing which have been authorized by the Board of Directors or which, in the judgment of the President,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 The President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Vice Presidents</w:t>
      </w:r>
      <w:r>
        <w:rPr>
          <w:rFonts w:ascii="Times New Roman;Times;Serif" w:hAnsi="Times New Roman;Times;Serif"/>
          <w:b w:val="false"/>
          <w:i w:val="false"/>
          <w:caps w:val="false"/>
          <w:smallCaps w:val="false"/>
          <w:sz w:val="20"/>
        </w:rPr>
        <w:t>.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Chief Financial Officer</w:t>
      </w:r>
      <w:r>
        <w:rPr>
          <w:rFonts w:ascii="Times New Roman;Times;Serif" w:hAnsi="Times New Roman;Times;Serif"/>
          <w:b w:val="false"/>
          <w:i w:val="false"/>
          <w:caps w:val="false"/>
          <w:smallCaps w:val="false"/>
          <w:sz w:val="20"/>
        </w:rPr>
        <w:t>. The powers and duties of the Chief Financial Officer are: (a) to supervise and control the keeping and maintaining of adequate and correct accounts of the Corporation’s properties and business transactions, including accounts of its assets, liabilities, receipts, disbursements, gains, losses, capital surplus and shares; (b) to have the custody of all funds, securities, evidences of indebtedness and other valuable documents of the Corporation and, at his or her discretion, to cause any or all thereof to be deposited for the account of the Corporation with such depository as may be designated from time to time by the Board of Directors; (c) to receive or cause to be received, and to give or cause to be given, receipts and acquittances for moneys paid in for the account of the Corporation; (d) to disburse, or cause to be disbursed, all funds of the Corporation as may be directed by the Chief Executive Officer, the President or the Board of Directors, taking proper vouchers for such disbursements; (e) to render to the Chief Executive Officer, the President or to the Board of Directors, whenever either may require, accounts of all transactions as Chief Financial Officer and of the financial condition of the Corporation; and (f) generally to do and perform all such duties as pertain to such office and as may be required by the Board of Directors or these Bylaws. The Chief Financial Officer may direct the any Controller or any Assistant Controller to assume and perform the duties of the Chief Financial Officer in the absence or disability of the Chief Financial Officer, and each Controller and Assistant Controller shall perform other duties commonly incident to the office and shall also perform such other duties and have such other powers as the Board of Directors or the Chief Executive Officer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The powers and duties of the Secretary are: (a) to keep a book of minutes at the principal executive office of the Corporation, or such other place as the Board of Directors may order, of all meetings of its directors and stockholders, whether regular or special, the notice thereof given, the names of those present at directors’ meetings, the number of shares present or represented at stockholders’ meetings and the proceedings thereof; (b) to keep the seal of the Corporation and to affix the same to all instruments which may require it; (c) to keep or cause to be kept at the principal executive office of the Corporation, or at the office of the transfer agent or agents, a record of the stockholders of the Corporation; (d) to keep a supply of certificates for shares of the Corporation, to fill in and sign all certificates issued or prepare the initial transaction statement or written statements for uncertificated shares, and to make a proper record of each such issuance, provided that so long as the Corporation shall have one or more duly appointed and acting transfer agents of the shares, or any class or series of shares, of the Corporation, such duties with respect to such shares shall be performed by such transfer agent or transfer agents; (e) to transfer upon the share books of the Corporation any and all shares of the Corporation, provided that so long as the Corporation shall have one or more duly appointed and acting transfer agents of the shares, or any class or series of shares, of the Corporation, such duties with respect to such shares shall be performed by such transfer agent or transfer agents; and (f) to make service and publication of all notices that may be necessary or proper and without command or direction from anyone.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shall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Divisional and Other Officers Appointed by the Chief Executive Officer or President.</w:t>
      </w:r>
      <w:r>
        <w:rPr>
          <w:rFonts w:ascii="Times New Roman;Times;Serif" w:hAnsi="Times New Roman;Times;Serif"/>
          <w:b w:val="false"/>
          <w:i w:val="false"/>
          <w:caps w:val="false"/>
          <w:smallCaps w:val="false"/>
          <w:sz w:val="20"/>
        </w:rPr>
        <w:t xml:space="preserve"> The Chief Executive Officer, or President if there is no Chief Executive Officer, shall have the power, in the exercise of his or her discretion, to appoint additional persons to hold positions and titles such as vice president of a division of the Corporation or president of a division of the Corporation, or similar such titles, as the business of the Corporation may require, subject to such limits in appointment power as the Board of Directors may determine. The Board of Directors shall be advised of any such appointment at a meeting of the Board of Directors, and the appointment shall be noted in the minutes of the meeting. The minutes shall clearly state that such persons are non-corporate officers appointed pursuant to this Section. Each such appointee shall have such title, shall serve in such capacity and shall have such authority and perform such duties as the Chief Executive Officer or President shall determine. Appointees may hold titles such as “president” of a division or other group within the Corporation, or “vice president” of a division or other group within the Corporation. However, any such appointee, absent specific election by the Board of Directors as an elected corporate officer, (a) shall not be considered an officer elected by the Board of Directors pursuant to this Article IV and shall not have the executive powers or authority of corporate officers elected pursuant to this Article IV and (b) shall be empowered to represent himself or herself to third parties as a divisional or group vice president or other title permitted, as applicable, only, and shall be empowered to execute documents, bind the Corporation or otherwise act on behalf of the Corporation only as authorized by the Chief Executive Officer or the President or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Salaries.</w:t>
      </w:r>
      <w:r>
        <w:rPr>
          <w:rFonts w:ascii="Times New Roman;Times;Serif" w:hAnsi="Times New Roman;Times;Serif"/>
          <w:b w:val="false"/>
          <w:i w:val="false"/>
          <w:caps w:val="false"/>
          <w:smallCaps w:val="false"/>
          <w:sz w:val="20"/>
        </w:rPr>
        <w:t xml:space="preserve"> The salaries of all officers and agents of the Corporation shall be fixed by the Board of Directors or any committee of the Board, if so authorized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Employment and Other Contracts.</w:t>
      </w:r>
      <w:r>
        <w:rPr>
          <w:rFonts w:ascii="Times New Roman;Times;Serif" w:hAnsi="Times New Roman;Times;Serif"/>
          <w:b w:val="false"/>
          <w:i w:val="false"/>
          <w:caps w:val="false"/>
          <w:smallCaps w:val="false"/>
          <w:sz w:val="20"/>
        </w:rPr>
        <w:t xml:space="preserve"> The Board of Directors may authorize any officer or officers or agent or agents to enter into any contract or execute and deliver any instrument in the name or on behalf of the Corporation, and such authority may be general or confined to specific instances. The Board of Directors may, when it believes the interest of the Corporation will best be served thereby, authorize executive employment contracts which will contain such terms and conditions as the Board of Directors deems appropriate.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SHARES OF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Form of Certificates.</w:t>
      </w:r>
      <w:r>
        <w:rPr>
          <w:rFonts w:ascii="Times New Roman;Times;Serif" w:hAnsi="Times New Roman;Times;Serif"/>
          <w:b w:val="false"/>
          <w:i w:val="false"/>
          <w:caps w:val="false"/>
          <w:smallCaps w:val="false"/>
          <w:sz w:val="20"/>
        </w:rPr>
        <w:t xml:space="preserve"> The Corporation may, but is not required to, deliver to each stockholder a certificate or certificates, in such form as may be determined by the Board of Directors, representing shares to which the stockholder is entitled. Such certificates shall be consecutively numbered and shall be registered on the books and records of the Corporation or its transfer agent as they are issued. Each certificate shall state on the face thereof the holder’s name, the number, class of shares, and the par value of such shares or a statement that such shares are without par value. Each certificate shall be signed by such officer or officers, or agent or agents, as the Board of Directors may designate, and may bear facsimile signatures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Shares without Certificates.</w:t>
      </w:r>
      <w:r>
        <w:rPr>
          <w:rFonts w:ascii="Times New Roman;Times;Serif" w:hAnsi="Times New Roman;Times;Serif"/>
          <w:b w:val="false"/>
          <w:i w:val="false"/>
          <w:caps w:val="false"/>
          <w:smallCaps w:val="false"/>
          <w:sz w:val="20"/>
        </w:rPr>
        <w:t xml:space="preserve"> The Board of Directors may authorize the issuance of uncertificated shares of some or all of the shares of any or all of its classes or series. The issuance of uncertificated shares has no effect on existing certificates for shares until surrendered to the Corporation, or on the respective rights and obligations of the stockholders. Unless otherwise provided by the Nevada Revised Statutes, the rights and obligations of stockholders are identical whether or not their shares of stock are represented by certificates. Within a reasonable time after the issuance or transfer of uncertificated shares, the Corporation shall send the stockholder a written statement containing the information required on the certificates pursuant to Section 5.1. Within a reasonable time after the issuance or transfer of uncertificated shares, the Corporation shall send the stockholder of record the written statement required by NRS 78.235. Thereafter, the Corporation shall provide any confirming statement required by NRS 78.235 within the period prescribed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Lost, Stolen or Destroyed Certificates.</w:t>
      </w:r>
      <w:r>
        <w:rPr>
          <w:rFonts w:ascii="Times New Roman;Times;Serif" w:hAnsi="Times New Roman;Times;Serif"/>
          <w:b w:val="false"/>
          <w:i w:val="false"/>
          <w:caps w:val="false"/>
          <w:smallCaps w:val="false"/>
          <w:sz w:val="20"/>
        </w:rPr>
        <w:t xml:space="preserve"> The Board of Directors may direct that a new certificate be issued, or that uncertificated shares be issued, in place of any certificate theretofore issued by the Corporation alleged to have been lost, stolen, or destroyed, upon the making of an affidavit of that fact by the person claiming the certificate to be lost, stolen, or destroyed. When authorizing such issue of a new certificate or uncertificated shares, the Board of Directors, in its discretion and as a condition precedent to the issuance thereof, may require the owner of such lost, stolen, or destroyed certificate, or his legal representative, to advertise the same in such manner as it shall require and/or to give the Corporation a bond, in such form, in such sum, and with such surety or sureties as it may direct as indemnity against any claim that may be made against the Corporation with respect to the certificate alleged to have been lost, stolen, or destroyed. When a certificate has been lost or apparently destroyed or stolen, and the holder of record fails to notify the Corporation within a reasonable time after he has notice of it, and the Corporation registers a transfer of the shares represented by the certificate before receiving such notification, the holder of record is precluded from making any claim against the Corporation for the transfer or a new certificate or uncertificated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Restrictions on Transfer.</w:t>
      </w:r>
      <w:r>
        <w:rPr>
          <w:rFonts w:ascii="Times New Roman;Times;Serif" w:hAnsi="Times New Roman;Times;Serif"/>
          <w:b w:val="false"/>
          <w:i w:val="false"/>
          <w:caps w:val="false"/>
          <w:smallCaps w:val="false"/>
          <w:sz w:val="20"/>
        </w:rPr>
        <w:t xml:space="preserve"> The Corporation shall have power to enter into and perform any agreement with any number of stockholders of any one or more classes of stock of the Corporation to restrict the sale, transfer, assignment, pledge, or other disposal of or encumbering of any of the shares of stock of the Corporation or any right or interest therein, whether voluntarily or by operation of law, or by gift or otherwise of shares of stock of the Corporation of any one or more classes owned by such stockholders in any manner not prohibited by the Nevada Revised Statutes.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Registered Stockholders.</w:t>
      </w:r>
      <w:r>
        <w:rPr>
          <w:rFonts w:ascii="Times New Roman;Times;Serif" w:hAnsi="Times New Roman;Times;Serif"/>
          <w:b w:val="false"/>
          <w:i w:val="false"/>
          <w:caps w:val="false"/>
          <w:smallCaps w:val="false"/>
          <w:sz w:val="20"/>
        </w:rPr>
        <w:t xml:space="preserve">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val="false"/>
          <w:caps w:val="false"/>
          <w:smallCaps w:val="false"/>
          <w:sz w:val="20"/>
        </w:rPr>
        <w:t>Directors and Executive Officers.</w:t>
      </w:r>
      <w:r>
        <w:rPr>
          <w:rFonts w:ascii="Times New Roman;Times;Serif" w:hAnsi="Times New Roman;Times;Serif"/>
          <w:b w:val="false"/>
          <w:i w:val="false"/>
          <w:caps w:val="false"/>
          <w:smallCaps w:val="false"/>
          <w:sz w:val="20"/>
        </w:rPr>
        <w:t xml:space="preserve"> The Corporation shall indemnify its directors and executive officers (for the purposes of this Article, “executive officers” shall have the meaning defined in Rule 3b-7 promulgated under the 1934 Act) to the fullest extent not prohibited by the Nevada Revised Statutes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(a) such indemnification is expressly required to be made by law, (b) the proceeding was authorized by the Board of Directors of the Corporation, (c) such indemnification is provided by the Corporation, in its sole discretion, pursuant to the powers vested in the Corporation under the Nevada Revised Statutes or any other applicable law or (d) such indemnification is required to be made under Section 6.4.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val="false"/>
          <w:caps w:val="false"/>
          <w:smallCaps w:val="false"/>
          <w:sz w:val="20"/>
        </w:rPr>
        <w:t>Other Officers, Employees and Other Agents.</w:t>
      </w:r>
      <w:r>
        <w:rPr>
          <w:rFonts w:ascii="Times New Roman;Times;Serif" w:hAnsi="Times New Roman;Times;Serif"/>
          <w:b w:val="false"/>
          <w:i w:val="false"/>
          <w:caps w:val="false"/>
          <w:smallCaps w:val="false"/>
          <w:sz w:val="20"/>
        </w:rPr>
        <w:t xml:space="preserve"> The Corporation shall have power to indemnify its other officers, employees and other agents as set forth in the Nevada Revised Statutes or any other applicable law. With respect to persons other than directors and executive officers, the Board of Directors may delegate to one or more officers or other persons the authority to determine whether and to what extent indemnification shall be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Nevada Revised Statutes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 Notwithstanding the foregoing, unless otherwise determined pursuant to Section 6.5,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(a) by a majority vote of a quorum consisting of directors who were not parties to the proceeding, even if not a quorum, or (b) by a committee of such directors designated by a majority of such directors, even though less than a quorum, or (c)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val="false"/>
          <w:caps w:val="false"/>
          <w:smallCaps w:val="false"/>
          <w:sz w:val="20"/>
        </w:rPr>
        <w:t>Enforcement.</w:t>
      </w:r>
      <w:r>
        <w:rPr>
          <w:rFonts w:ascii="Times New Roman;Times;Serif" w:hAnsi="Times New Roman;Times;Serif"/>
          <w:b w:val="false"/>
          <w:i w:val="false"/>
          <w:caps w:val="false"/>
          <w:smallCaps w:val="false"/>
          <w:sz w:val="20"/>
        </w:rPr>
        <w:t xml:space="preserve"> Without the necessity of entering into an express contract, all rights to indemnification and advances to directors and executive officers under this Article VI shall be deemed to be contractual rights and be effective to the same extent and as if provided for in a contract between the Corporation and the director or executive officer. Any right to indemnification or advances granted by this Article VI to a director or executive officer shall be enforceable by or on behalf of the person holding such right in any court of competent jurisdiction if (a) the claim for indemnification or advances is denied, in whole or in part, or (b)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Nevada Revised Statutes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Nevada Revised Statutes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val="false"/>
          <w:caps w:val="false"/>
          <w:smallCaps w:val="false"/>
          <w:sz w:val="20"/>
        </w:rPr>
        <w:t>Non-Exclusivity of Rights.</w:t>
      </w:r>
      <w:r>
        <w:rPr>
          <w:rFonts w:ascii="Times New Roman;Times;Serif" w:hAnsi="Times New Roman;Times;Serif"/>
          <w:b w:val="false"/>
          <w:i w:val="false"/>
          <w:caps w:val="false"/>
          <w:smallCaps w:val="false"/>
          <w:sz w:val="20"/>
        </w:rPr>
        <w:t xml:space="preserve"> The rights conferred on any person by this Article VI shall not be exclusive of any other right which such person may have or hereafter acquire under any applicable statute, provision of the Articles of Incorporation, these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Nevada Revised Statutes or any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i w:val="false"/>
          <w:caps w:val="false"/>
          <w:smallCaps w:val="false"/>
          <w:sz w:val="20"/>
        </w:rPr>
        <w:t>Survival of Rights.</w:t>
      </w:r>
      <w:r>
        <w:rPr>
          <w:rFonts w:ascii="Times New Roman;Times;Serif" w:hAnsi="Times New Roman;Times;Serif"/>
          <w:b w:val="false"/>
          <w:i w:val="false"/>
          <w:caps w:val="false"/>
          <w:smallCaps w:val="false"/>
          <w:sz w:val="20"/>
        </w:rPr>
        <w:t xml:space="preserve"> The rights conferred on any person by this Article VI shall continue as to a person who has ceased to be a director or executive officer and shall inure to the benefit of the heirs, executors and administrators of such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The Corporation may purchase and maintain insurance or make other financial arrangements on behalf of any person whom the Corporation is authorized or required to indemnify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i w:val="false"/>
          <w:caps w:val="false"/>
          <w:smallCaps w:val="false"/>
          <w:sz w:val="20"/>
        </w:rPr>
        <w:t>Amendments.</w:t>
      </w:r>
      <w:r>
        <w:rPr>
          <w:rFonts w:ascii="Times New Roman;Times;Serif" w:hAnsi="Times New Roman;Times;Serif"/>
          <w:b w:val="false"/>
          <w:i w:val="false"/>
          <w:caps w:val="false"/>
          <w:smallCaps w:val="false"/>
          <w:sz w:val="20"/>
        </w:rPr>
        <w:t xml:space="preserve"> Any repeal or modification of this Article VI shall only be prospective and shall not affect the rights under this Bylaw in effect at the time of the alleged occurrence of any action or omission to act that is the cause of any proceeding against any agent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i w:val="false"/>
          <w:caps w:val="false"/>
          <w:smallCaps w:val="false"/>
          <w:sz w:val="20"/>
        </w:rPr>
        <w:t>Saving Clause.</w:t>
      </w:r>
      <w:r>
        <w:rPr>
          <w:rFonts w:ascii="Times New Roman;Times;Serif" w:hAnsi="Times New Roman;Times;Serif"/>
          <w:b w:val="false"/>
          <w:i w:val="false"/>
          <w:caps w:val="false"/>
          <w:smallCaps w:val="false"/>
          <w:sz w:val="20"/>
        </w:rPr>
        <w:t xml:space="preserve"> If this Article VI or any portion hereof shall be invalidated on any ground by any court of competent jurisdiction, then the Corporation shall nevertheless indemnify each director and executive officer to the full extent not prohibited by any applicable portion of this Article that shall not have been invalidated, or by any other applicable law. If this Article VI shall be invalid due to the application of the indemnification provisions of another jurisdiction, then the Corporation shall indemnify each director and executive officer to the full extent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i w:val="false"/>
          <w:caps w:val="false"/>
          <w:smallCaps w:val="false"/>
          <w:sz w:val="20"/>
        </w:rPr>
        <w:t>Certain Definitions.</w:t>
      </w:r>
      <w:r>
        <w:rPr>
          <w:rFonts w:ascii="Times New Roman;Times;Serif" w:hAnsi="Times New Roman;Times;Serif"/>
          <w:b w:val="false"/>
          <w:i w:val="false"/>
          <w:caps w:val="false"/>
          <w:smallCaps w:val="false"/>
          <w:sz w:val="20"/>
        </w:rPr>
        <w:t xml:space="preserve"> For the purposes of this Article VI, the following definitions shall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 “expenses” shall include, without limitation, attorneys’ fees, retainers, court costs, transcript costs, fees and expenses of experts and witnesses, travel expenses and all other costs and expenses actually and reasonably incurred in connection with a proceeding, but shall not include judgments, fines, penalties or amounts paid in settlement except to the extent expressly provided elsewhere in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as he would have with respect to such constituent corporation if its separate existence had continued.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Form of Notice.</w:t>
      </w:r>
      <w:r>
        <w:rPr>
          <w:rFonts w:ascii="Times New Roman;Times;Serif" w:hAnsi="Times New Roman;Times;Serif"/>
          <w:b w:val="false"/>
          <w:i w:val="false"/>
          <w:caps w:val="false"/>
          <w:smallCaps w:val="false"/>
          <w:sz w:val="20"/>
        </w:rPr>
        <w:t xml:space="preserve"> Notices shall be given in accordance with NRS 75.150, as amended from time to time. Whenever required by law, the Articles of Incorporation, or these Bylaws, notice is to be given to any director or stockholder, and no provision is made as to how such notice shall be given, such notice may be given in writing, by mail, postage prepaid, addressed to such director or stockholder at such address as appears on the books and records of the Corporation or its transfer agent. A notice or other communication may also be delivered by electronic transmission if the electronic transmission contains or is accompanied by information from which the recipient can determine the date of the transmission. Unless otherwise agreed between sender and recipient, an electronic transmission is received when it enters an information processing system that the recipient has designated or uses for the purpose of receiving electronic transmissions or information of the type sent and it is in a form ordinarily capable of being processed by that system. Except as otherwise provided by these Bylaws or Chapter 75 of the NRS, any notice or other communication, if in a comprehensible form or manner, is effective at the earliest of the following: (a) if in a physical form, when it is left at the address of a director or stockholder as it appears upon the records of the Corporation, the residence or usual place of business of a director or stockholder or the stockholder’s principal place of business; (b) if mailed by United States mail postage prepaid and correctly addressed to a director or stockholder, upon deposit in the United States mail; or (c) if oral, when communicated.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xml:space="preserve"> Whenever any notice is required to be given to any stockholder or director of the Corporation as required by law, the Articles of Incorporation or these Bylaws, a waiver thereof in writing signed by the person or persons entitled to such notice, whether before or after the time stated in such notice, shall be equivalent to the giving of such notice. Attendance of a stockholder or director at a meeting shall constitute a waiver of notice of such meeting, except where such stockholder or director attends for the express purpose of objecting to the transaction of any business on the ground that the meeting is not lawfully called or convened.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Affidavit of Mailing.</w:t>
      </w:r>
      <w:r>
        <w:rPr>
          <w:rFonts w:ascii="Times New Roman;Times;Serif" w:hAnsi="Times New Roman;Times;Serif"/>
          <w:b w:val="false"/>
          <w:i w:val="false"/>
          <w:caps w:val="false"/>
          <w:smallCaps w:val="false"/>
          <w:sz w:val="20"/>
        </w:rPr>
        <w:t xml:space="preserve">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val="false"/>
          <w:caps w:val="false"/>
          <w:smallCaps w:val="false"/>
          <w:sz w:val="20"/>
        </w:rPr>
        <w:t>Methods of Notice.</w:t>
      </w:r>
      <w:r>
        <w:rPr>
          <w:rFonts w:ascii="Times New Roman;Times;Serif" w:hAnsi="Times New Roman;Times;Serif"/>
          <w:b w:val="false"/>
          <w:i w:val="false"/>
          <w:caps w:val="false"/>
          <w:smallCaps w:val="false"/>
          <w:sz w:val="20"/>
        </w:rPr>
        <w:t xml:space="preserve">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GENERAL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i w:val="false"/>
          <w:caps w:val="false"/>
          <w:smallCaps w:val="false"/>
          <w:sz w:val="20"/>
        </w:rPr>
        <w:t>Execution of Corporate Instruments.</w:t>
      </w:r>
      <w:r>
        <w:rPr>
          <w:rFonts w:ascii="Times New Roman;Times;Serif" w:hAnsi="Times New Roman;Times;Serif"/>
          <w:b w:val="false"/>
          <w:i w:val="false"/>
          <w:caps w:val="false"/>
          <w:smallCaps w:val="false"/>
          <w:sz w:val="20"/>
        </w:rPr>
        <w:t xml:space="preserve">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i w:val="false"/>
          <w:caps w:val="false"/>
          <w:smallCaps w:val="false"/>
          <w:sz w:val="20"/>
        </w:rPr>
        <w:t>Execution of Other Securities.</w:t>
      </w:r>
      <w:r>
        <w:rPr>
          <w:rFonts w:ascii="Times New Roman;Times;Serif" w:hAnsi="Times New Roman;Times;Serif"/>
          <w:b w:val="false"/>
          <w:i w:val="false"/>
          <w:caps w:val="false"/>
          <w:smallCaps w:val="false"/>
          <w:sz w:val="20"/>
        </w:rPr>
        <w:t xml:space="preserve"> All bonds, debentures and other corporate securities of the Corporation, other than stock certificates (covered in Section 5.1 of these Bylaws),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Chief Financial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i w:val="false"/>
          <w:caps w:val="false"/>
          <w:smallCaps w:val="false"/>
          <w:sz w:val="20"/>
        </w:rPr>
        <w:t>Voting of Securities Owned by the Corporation.</w:t>
      </w:r>
      <w:r>
        <w:rPr>
          <w:rFonts w:ascii="Times New Roman;Times;Serif" w:hAnsi="Times New Roman;Times;Serif"/>
          <w:b w:val="false"/>
          <w:i w:val="false"/>
          <w:caps w:val="false"/>
          <w:smallCaps w:val="false"/>
          <w:sz w:val="20"/>
        </w:rPr>
        <w:t xml:space="preserve">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the Chief Financial Officer, or any Vice President.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xml:space="preserve"> Dividends upon the outstanding shares of the Corporation, subject to the provisions of the Articles of Incorporation, if any, may be declared by the Board of Directors at any regular or special meeting. Dividends may be declared and paid in cash, in property, or in shares of the Corporation, subject to the provisions of the Nevada Revised Statutes and the Articles of Incorporation. The Board of Directors may fix in advance a record date for the purpose of determining stockholders entitled to receive payment of any dividend, such record date to be not more than sixty (60) days prior to the payment date of such dividend, or the Board of Directors may close the stock transfer books for such purpose for a period of not more than sixty (60) days prior to the payment date of such dividend. In the absence of any action by the Board of Directors, the date upon which the Board of Directors adopts the resolution declaring such dividend shall be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i w:val="false"/>
          <w:caps w:val="false"/>
          <w:smallCaps w:val="false"/>
          <w:sz w:val="20"/>
        </w:rPr>
        <w:t>Reserves.</w:t>
      </w:r>
      <w:r>
        <w:rPr>
          <w:rFonts w:ascii="Times New Roman;Times;Serif" w:hAnsi="Times New Roman;Times;Serif"/>
          <w:b w:val="false"/>
          <w:i w:val="false"/>
          <w:caps w:val="false"/>
          <w:smallCaps w:val="false"/>
          <w:sz w:val="20"/>
        </w:rPr>
        <w:t xml:space="preserve"> There may be created by resolution of the Board of Directors out of the surplus of the Corporation such reserve or reserves as the directors from time to time, in their discretion, think proper to provide for contingencies, or to equalize dividends, or to repair or maintain any property of the Corporation, or for such other purpose as the directors shall think beneficial to the Corporation, and the directors may modify or abolish any such reserve in the manner in which it was created. Surplus of the Corporation to the extent so reserved shall not be available for the payment of dividends or other distributions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xml:space="preserve"> The Corporation shall keep correct and complete books and records of account and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i w:val="false"/>
          <w:caps w:val="false"/>
          <w:smallCaps w:val="false"/>
          <w:sz w:val="20"/>
        </w:rPr>
        <w:t>Corporate Seal.</w:t>
      </w:r>
      <w:r>
        <w:rPr>
          <w:rFonts w:ascii="Times New Roman;Times;Serif" w:hAnsi="Times New Roman;Times;Serif"/>
          <w:b w:val="false"/>
          <w:i w:val="false"/>
          <w:caps w:val="false"/>
          <w:smallCaps w:val="false"/>
          <w:sz w:val="20"/>
        </w:rPr>
        <w:t xml:space="preserve"> The Board of Directors may adopt a corporate seal. The corporate seal shall consist of a die bearing the name of the Corporation and the inscription, “Corporate Seal-Nevada.” Said seal may be used by causing it or a facsimile thereof to be impressed or affixed or reproduced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xml:space="preserve"> The fiscal year of the Corporation shall be fixed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i w:val="false"/>
          <w:caps w:val="false"/>
          <w:smallCaps w:val="false"/>
          <w:sz w:val="20"/>
        </w:rPr>
        <w:t>Interpretation and Construction.</w:t>
      </w:r>
      <w:r>
        <w:rPr>
          <w:rFonts w:ascii="Times New Roman;Times;Serif" w:hAnsi="Times New Roman;Times;Serif"/>
          <w:b w:val="false"/>
          <w:i w:val="false"/>
          <w:caps w:val="false"/>
          <w:smallCaps w:val="false"/>
          <w:sz w:val="20"/>
        </w:rPr>
        <w:t xml:space="preserve"> Reference in these Bylaws to any provision of the Nevada Revised Statutes shall be deemed to include all amendments thereof. Unless the context requires otherwise, the general provisions, rules of construction and definitions in the Nevada Revised Statutes shall govern the construction of these Bylaws. Without limiting the generality of the forgoing, the singular number includes the plural, the plural number includes the singular, and the term “person” includes both a corporation and a natural person. All restrictions, limitations, requirements and other provisions of these Bylaws shall be construed, insofar as possible, as supplemental and additional to all provisions of law applicable to the subject matter thereof and shall be fully complied with in addition to the said provisions of law unless such compliance shall be illegal. Any article, section, subsection, subdivision, sentence, clause or phrase of these Bylaws which, upon being construed in the manner provided in this Section 8.9, shall be contrary to or inconsistent with any applicable provision of law, shall not apply so long as said provisions of law shall remain in effect, but such result shall not affect the validity or applicability of any other portions of these Bylaws, it being hereby declared that these Bylaws, and each article, section, subsection, subdivision, sentence, clause, or phrase thereof, would have been adopted irrespective of the fact that any one or more articles, sections, subsections, subdivisions, sentences, clauses or phrases is or are illegal.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Section 78.378(1), the Corporation elects not to be governed by the provisions of Nevada state law applicable to the acquisition of a controlling interest in the stock of the corporation, as set forth in NRS Sections 78.378 to 78.3793.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86"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8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Chapter 78 or Chapter 92A of the Nevada Revised Statutes or the Articles of Incorporation or these Bylaws (in each case, as they may be amended from time to time), or (iv) any action asserting a claim against the Corporation or any director or officer or other employee of the corporation governed by the internal affairs doctrine shall be a state court located within the State of Nevada (or, if no state court located within the State of Nevada has jurisdiction, the federal district court for the District of Nevada). Unless the Corporation consents in writing to the selection of an alternative forum, the federal district courts of the United States shall, to the fullest extent permitted by law, be the sole and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this Article 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XI</w:t>
      </w:r>
      <w:r>
        <w:rPr>
          <w:rFonts w:ascii="Times New Roman;Times;Serif" w:hAnsi="Times New Roman;Times;Serif"/>
          <w:b/>
          <w:i w:val="false"/>
          <w:caps w:val="false"/>
          <w:smallCaps w:val="false"/>
          <w:sz w:val="20"/>
        </w:rPr>
        <w:br/>
        <w:t>ADOPTION, AMENDMENT OR REPEAL OF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By the Board of Directors.</w:t>
      </w:r>
      <w:r>
        <w:rPr>
          <w:rFonts w:ascii="Times New Roman;Times;Serif" w:hAnsi="Times New Roman;Times;Serif"/>
          <w:b w:val="false"/>
          <w:i w:val="false"/>
          <w:caps w:val="false"/>
          <w:smallCaps w:val="false"/>
          <w:sz w:val="20"/>
        </w:rPr>
        <w:t xml:space="preserve"> Subject to the Articles of Incorporation and applicable law, the Board of Directors is expressly empowered to adopt, amend, or repeal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By the Stockholders.</w:t>
      </w:r>
      <w:r>
        <w:rPr>
          <w:rFonts w:ascii="Times New Roman;Times;Serif" w:hAnsi="Times New Roman;Times;Serif"/>
          <w:b w:val="false"/>
          <w:i w:val="false"/>
          <w:caps w:val="false"/>
          <w:smallCaps w:val="false"/>
          <w:sz w:val="20"/>
        </w:rPr>
        <w:t xml:space="preserve"> The stockholders shall also have power to adopt, amend or repeal bylaws of the Corporation; provided, however, that, in addition to any vote of the holders of any class or series of stock of the Corporation required by law or by the Articles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ADOPTION OF BYLAWS</w:t>
        <w:br/>
        <w:br/>
        <w:t>OF</w:t>
        <w:br/>
        <w:br/>
        <w:t>ETOILES CAPITAL GROUP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he is the duly elected, qualified and acting Secretary of Etoiles Capital Group Co., Ltd., a Nevada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and that the foregoing Bylaws were adopted as the Corporation’s bylaws as of the date hereof by the Corporation’s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Certificate of Adoption as of August [ ], 2026.</w:t>
      </w:r>
    </w:p>
    <w:p>
      <w:pPr>
        <w:pStyle w:val="TextBody"/>
        <w:bidi w:val="0"/>
        <w:spacing w:before="0" w:after="0"/>
        <w:ind w:left="0" w:right="0" w:firstLine="720"/>
        <w:jc w:val="both"/>
        <w:rPr>
          <w:caps w:val="false"/>
          <w:smallCaps w:val="false"/>
        </w:rPr>
      </w:pPr>
      <w:r>
        <w:rPr>
          <w:caps w:val="false"/>
          <w:smallCaps w:val="false"/>
        </w:rPr>
        <w:t> </w:t>
      </w:r>
    </w:p>
    <w:tbl>
      <w:tblPr>
        <w:tblW w:w="1445" w:type="dxa"/>
        <w:jc w:val="left"/>
        <w:tblInd w:w="0" w:type="dxa"/>
        <w:tblLayout w:type="fixed"/>
        <w:tblCellMar>
          <w:top w:w="0" w:type="dxa"/>
          <w:left w:w="0" w:type="dxa"/>
          <w:bottom w:w="0" w:type="dxa"/>
          <w:right w:w="0" w:type="dxa"/>
        </w:tblCellMar>
      </w:tblPr>
      <w:tblGrid>
        <w:gridCol w:w="75"/>
        <w:gridCol w:w="1370"/>
      </w:tblGrid>
      <w:tr>
        <w:trPr/>
        <w:tc>
          <w:tcPr>
            <w:tcW w:w="75" w:type="dxa"/>
            <w:tcBorders/>
            <w:vAlign w:val="center"/>
          </w:tcPr>
          <w:p>
            <w:pPr>
              <w:pStyle w:val="TableContents"/>
              <w:bidi w:val="0"/>
              <w:spacing w:before="0" w:after="283"/>
              <w:jc w:val="both"/>
              <w:rPr/>
            </w:pPr>
            <w:r>
              <w:rPr/>
              <w:t> </w:t>
            </w:r>
          </w:p>
        </w:tc>
        <w:tc>
          <w:tcPr>
            <w:tcW w:w="137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Hon Fia Tam </w:t>
              <w:br/>
              <w:t>Secretary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3" w:name="b_006"/>
      <w:bookmarkEnd w:id="33"/>
      <w:r>
        <w:rPr>
          <w:rFonts w:ascii="Times New Roman;Times;Serif" w:hAnsi="Times New Roman;Times;Serif"/>
          <w:b/>
          <w:i w:val="false"/>
          <w:caps w:val="false"/>
          <w:smallCaps w:val="false"/>
          <w:sz w:val="20"/>
        </w:rPr>
        <w:t>Annex D</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 of Corporate Domestication of Etoiles Capital Group Co., Ltd.</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9"/>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FRANCISCO V. AGUILAR Secretary of State 401 North Carson Street Carson City, Nevada 89701-4201 (775) 684-5708 Website: www.nvsos.gov Articles of Domestication (PURSUANT TO NRS 92A.270) TYPE OR PRINT - USE DARK INK ONLY - DO NOT HIGHLIGHT INSTRUCTIONS: 1. Enter the name and type of Domestic entity as set forth in its charter documents. 2. Entity name prior to domestication. 3. Enter original filing date and jursidication of un-domesticated entity. 4. Jurisdiction that constituted the principal place of business of the un-domesticated organization, see below. 5. SIGNATURE(S): Must be signed by Authorized Signer. Form will be returned if unsigned. 6. The filing must be submitted with the following: • The appropriate formation document for the type of domestic entity. • A certified copy of the charter document, or the equivalent, if any, of the undomesticated organization. • A certificate of good standing, or the equivalent, from the jurisdiction where the undomesticated organization was chartered immediately before filing the articles of domestication (within 90 days). 7. If the foreign undomesticated entity is on file a cancellation/dissolution will need to be submitted with the appropriate fees. 8. If the name of the domesticating entity is not available a notarized name consent will need to be submitted. 1. Domestic Entity Information: Name of Domestic Entity as set forth in its Charter Documents: Type of Domestic Entity as set forth in its Charter Documents: 2. Prior Name: Entity Name Before Filing Articles of Domestication: 3. Original Filing Date and jurisdiction: Original Jurisdiction of Formation: Original File Date: 4. Jurisdiction: Jurisdiction that constituted the principal place of business or central administration of the undomesticated organization, or any other equivalent thereto pursuant to applicable law, immediately before filing the articles of domestication. 5. Signature: (Required) X Signature Date This form must be accompanied by appropriate fees. Page 1 of 1 Revised: 8/1/2023 Etoiles Capital Group Co., Ltd. corporation Etoiles Capital Group Co., Ltd. Cayman Islands 09/13/2024 Cayman Islands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25"/>
        <w:gridCol w:w="348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w:t>
            </w:r>
          </w:p>
        </w:tc>
        <w:tc>
          <w:tcPr>
            <w:tcW w:w="3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directors and officers.</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does not limit the extent to which a company’s memorandum and articles of association may provide for indemnification of officers and directors. However, such provision may be held by the Cayman Islands courts to be unenforceable, to the extent it seeks to indemnify or exculpate a fiduciary in respect of their fraud, dishonesty or willful default, or for the consequences of committing a crime. Etoiles Capital’s second amended and restated memorandum and articles of association provides for indemnification of officers and directors for losses, damages, costs and expenses incurred in their capacities as such, except in respect of any matter arising out of their own dishonesty.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limitation of liability and indemnification does not affect the availability of equitable remedies. In addition, Etoiles Capital has been advised that, in the opinion of the SEC, indemnification for liabilities arising under the Securities Act, is against public policy as expressed in the Securities Act and is therefore unenforceable.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25"/>
        <w:gridCol w:w="375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21.</w:t>
            </w:r>
          </w:p>
        </w:tc>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and Financial Statement Schedules.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140"/>
        <w:gridCol w:w="9340"/>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p>
            <w:pPr>
              <w:pStyle w:val="TableContents"/>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3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CCEEFF" w:val="clear"/>
            <w:vAlign w:val="center"/>
          </w:tcPr>
          <w:p>
            <w:pPr>
              <w:pStyle w:val="TableContents"/>
              <w:bidi w:val="0"/>
              <w:spacing w:before="0" w:after="283"/>
              <w:jc w:val="both"/>
              <w:rPr/>
            </w:pPr>
            <w:hyperlink w:anchor="b_001">
              <w:r>
                <w:rPr>
                  <w:rStyle w:val="InternetLink"/>
                  <w:rFonts w:ascii="Times New Roman;Times;Serif" w:hAnsi="Times New Roman;Times;Serif"/>
                  <w:b w:val="false"/>
                  <w:i w:val="false"/>
                  <w:caps w:val="false"/>
                  <w:smallCaps w:val="false"/>
                  <w:sz w:val="20"/>
                </w:rPr>
                <w:t>Second Amended and Restated Memorandum and Articles of Association (included as Annex A to the proxy statement/prospectus that forms a part of this Registration Statement).</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FFFFFF" w:val="clear"/>
            <w:vAlign w:val="center"/>
          </w:tcPr>
          <w:p>
            <w:pPr>
              <w:pStyle w:val="TableContents"/>
              <w:bidi w:val="0"/>
              <w:spacing w:before="0" w:after="283"/>
              <w:jc w:val="both"/>
              <w:rPr/>
            </w:pPr>
            <w:hyperlink w:anchor="b_002">
              <w:r>
                <w:rPr>
                  <w:rStyle w:val="InternetLink"/>
                  <w:rFonts w:ascii="Times New Roman;Times;Serif" w:hAnsi="Times New Roman;Times;Serif"/>
                  <w:b w:val="false"/>
                  <w:i w:val="false"/>
                  <w:caps w:val="false"/>
                  <w:smallCaps w:val="false"/>
                  <w:sz w:val="20"/>
                </w:rPr>
                <w:t>Form of Certificate of Incorporation of Etoiles Capital Nevada (included as Annex B to the proxy statement/prospectus that forms a part of this Registration Statement).</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CCEEFF" w:val="clear"/>
            <w:vAlign w:val="center"/>
          </w:tcPr>
          <w:p>
            <w:pPr>
              <w:pStyle w:val="TableContents"/>
              <w:bidi w:val="0"/>
              <w:spacing w:before="0" w:after="283"/>
              <w:jc w:val="both"/>
              <w:rPr/>
            </w:pPr>
            <w:hyperlink w:anchor="b_003">
              <w:r>
                <w:rPr>
                  <w:rStyle w:val="InternetLink"/>
                  <w:rFonts w:ascii="Times New Roman;Times;Serif" w:hAnsi="Times New Roman;Times;Serif"/>
                  <w:b w:val="false"/>
                  <w:i w:val="false"/>
                  <w:caps w:val="false"/>
                  <w:smallCaps w:val="false"/>
                  <w:sz w:val="20"/>
                </w:rPr>
                <w:t>Form of Bylaws of Etoiles Capital Nevada (included as Annex C to the proxy statement/prospectus).</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FFFFFF" w:val="clear"/>
            <w:vAlign w:val="center"/>
          </w:tcPr>
          <w:p>
            <w:pPr>
              <w:pStyle w:val="TableContents"/>
              <w:bidi w:val="0"/>
              <w:spacing w:before="0" w:after="283"/>
              <w:jc w:val="both"/>
              <w:rPr/>
            </w:pPr>
            <w:hyperlink w:anchor="b_006">
              <w:r>
                <w:rPr>
                  <w:rStyle w:val="InternetLink"/>
                  <w:rFonts w:ascii="Times New Roman;Times;Serif" w:hAnsi="Times New Roman;Times;Serif"/>
                  <w:b w:val="false"/>
                  <w:i w:val="false"/>
                  <w:caps w:val="false"/>
                  <w:smallCaps w:val="false"/>
                  <w:sz w:val="20"/>
                </w:rPr>
                <w:t>Form of Certificate of Corporate Domestication of Etoiles Capital Group Co., Ltd. to be filed with the Secretary of State of the State of Nevada (included as Annex D to the proxy statement/prospectus that forms a part of this Registration Statement)</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CCEEFF" w:val="clear"/>
            <w:vAlign w:val="center"/>
          </w:tcPr>
          <w:p>
            <w:pPr>
              <w:pStyle w:val="TableContents"/>
              <w:bidi w:val="0"/>
              <w:spacing w:before="0" w:after="283"/>
              <w:jc w:val="both"/>
              <w:rPr/>
            </w:pPr>
            <w:hyperlink w:anchor="ea030149601ex4-1.htm">
              <w:r>
                <w:rPr>
                  <w:rStyle w:val="InternetLink"/>
                  <w:rFonts w:ascii="Times New Roman;Times;Serif" w:hAnsi="Times New Roman;Times;Serif"/>
                  <w:b w:val="false"/>
                  <w:i w:val="false"/>
                  <w:caps w:val="false"/>
                  <w:smallCaps w:val="false"/>
                  <w:sz w:val="20"/>
                </w:rPr>
                <w:t>Form of Stock Certificate for Common Stock Etoiles Capital Nevada</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Fennemore Craig, P.C.as to the legality of the securities being registered</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CCEEFF" w:val="clear"/>
            <w:vAlign w:val="center"/>
          </w:tcPr>
          <w:p>
            <w:pPr>
              <w:pStyle w:val="TableContents"/>
              <w:bidi w:val="0"/>
              <w:spacing w:before="0" w:after="283"/>
              <w:jc w:val="both"/>
              <w:rPr/>
            </w:pPr>
            <w:hyperlink w:anchor="ea030149601ex21-1.htm">
              <w:r>
                <w:rPr>
                  <w:rStyle w:val="InternetLink"/>
                  <w:rFonts w:ascii="Times New Roman;Times;Serif" w:hAnsi="Times New Roman;Times;Serif"/>
                  <w:b w:val="false"/>
                  <w:i w:val="false"/>
                  <w:caps w:val="false"/>
                  <w:smallCaps w:val="false"/>
                  <w:sz w:val="20"/>
                </w:rPr>
                <w:t>Subsidiaries of Etoiles Capital</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FFFFFF" w:val="clear"/>
            <w:vAlign w:val="center"/>
          </w:tcPr>
          <w:p>
            <w:pPr>
              <w:pStyle w:val="TableContents"/>
              <w:bidi w:val="0"/>
              <w:spacing w:before="0" w:after="283"/>
              <w:jc w:val="both"/>
              <w:rPr/>
            </w:pPr>
            <w:hyperlink w:anchor="ea030149601ex23-1.htm">
              <w:r>
                <w:rPr>
                  <w:rStyle w:val="InternetLink"/>
                  <w:rFonts w:ascii="Times New Roman;Times;Serif" w:hAnsi="Times New Roman;Times;Serif"/>
                  <w:b w:val="false"/>
                  <w:i w:val="false"/>
                  <w:caps w:val="false"/>
                  <w:smallCaps w:val="false"/>
                  <w:sz w:val="20"/>
                </w:rPr>
                <w:t>Consent of SRCO, C.P.A., Professional Corporation, independent registered public accounting firm</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Fennemore Craig, P.C. (contained in Exhibit </w:t>
            </w:r>
            <w:r>
              <w:rPr>
                <w:rFonts w:ascii="Times New Roman;Times;Serif" w:hAnsi="Times New Roman;Times;Serif"/>
                <w:b w:val="false"/>
                <w:i w:val="false"/>
                <w:caps w:val="false"/>
                <w:smallCaps w:val="false"/>
                <w:sz w:val="20"/>
                <w:u w:val="single"/>
              </w:rPr>
              <w:t>5.1</w:t>
            </w:r>
            <w:r>
              <w:rPr>
                <w:rFonts w:ascii="Times New Roman;Times;Serif" w:hAnsi="Times New Roman;Times;Serif"/>
                <w:b w:val="false"/>
                <w:i w:val="false"/>
                <w:caps w:val="false"/>
                <w:smallCaps w:val="false"/>
                <w:sz w:val="20"/>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FFFFFF" w:val="clear"/>
            <w:vAlign w:val="center"/>
          </w:tcPr>
          <w:p>
            <w:pPr>
              <w:pStyle w:val="TableContents"/>
              <w:bidi w:val="0"/>
              <w:spacing w:before="0" w:after="283"/>
              <w:jc w:val="both"/>
              <w:rPr/>
            </w:pPr>
            <w:hyperlink w:anchor="s_007">
              <w:r>
                <w:rPr>
                  <w:rStyle w:val="InternetLink"/>
                  <w:rFonts w:ascii="Times New Roman;Times;Serif" w:hAnsi="Times New Roman;Times;Serif"/>
                  <w:b w:val="false"/>
                  <w:i w:val="false"/>
                  <w:caps w:val="false"/>
                  <w:smallCaps w:val="false"/>
                  <w:sz w:val="20"/>
                </w:rPr>
                <w:t>Power of Attorney (included on signature page to this Registration Statement)</w:t>
              </w:r>
            </w:hyperlink>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CCEEFF" w:val="clear"/>
            <w:vAlign w:val="center"/>
          </w:tcPr>
          <w:p>
            <w:pPr>
              <w:pStyle w:val="TableContents"/>
              <w:bidi w:val="0"/>
              <w:spacing w:before="0" w:after="283"/>
              <w:jc w:val="both"/>
              <w:rPr/>
            </w:pPr>
            <w:hyperlink w:anchor="ea030149601ex99-1.htm">
              <w:r>
                <w:rPr>
                  <w:rStyle w:val="InternetLink"/>
                  <w:rFonts w:ascii="Times New Roman;Times;Serif" w:hAnsi="Times New Roman;Times;Serif"/>
                  <w:b w:val="false"/>
                  <w:i w:val="false"/>
                  <w:caps w:val="false"/>
                  <w:smallCaps w:val="false"/>
                  <w:sz w:val="20"/>
                </w:rPr>
                <w:t>Form of Proxy</w:t>
              </w:r>
            </w:hyperlink>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0" w:type="dxa"/>
            <w:tcBorders/>
            <w:shd w:fill="FFFFFF" w:val="clear"/>
            <w:vAlign w:val="center"/>
          </w:tcPr>
          <w:p>
            <w:pPr>
              <w:pStyle w:val="TableContents"/>
              <w:bidi w:val="0"/>
              <w:spacing w:before="0" w:after="283"/>
              <w:jc w:val="both"/>
              <w:rPr/>
            </w:pPr>
            <w:hyperlink w:anchor="ea030149601ex-fee.htm">
              <w:r>
                <w:rPr>
                  <w:rStyle w:val="InternetLink"/>
                  <w:rFonts w:ascii="Times New Roman;Times;Serif" w:hAnsi="Times New Roman;Times;Serif"/>
                  <w:b w:val="false"/>
                  <w:i w:val="false"/>
                  <w:caps w:val="false"/>
                  <w:smallCaps w:val="false"/>
                  <w:sz w:val="20"/>
                </w:rPr>
                <w:t>Filing Fee Table</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4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pPr>
            <w:r>
              <w:rPr/>
              <w:t>To be filed by amendment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25"/>
        <w:gridCol w:w="1220"/>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22.</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85"/>
        <w:gridCol w:w="38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this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respond to requests for information that is incorporated by reference into the 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supply by means of a post-effective amendment all information concerning this transaction that was not the subject of and included in this Registration Statement when it became effective.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4" w:name="s_007"/>
      <w:bookmarkEnd w:id="34"/>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Hong Kong, on August 14, 2026.</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5333" w:type="dxa"/>
        <w:jc w:val="left"/>
        <w:tblInd w:w="0" w:type="dxa"/>
        <w:tblLayout w:type="fixed"/>
        <w:tblCellMar>
          <w:top w:w="0" w:type="dxa"/>
          <w:left w:w="0" w:type="dxa"/>
          <w:bottom w:w="0" w:type="dxa"/>
          <w:right w:w="0" w:type="dxa"/>
        </w:tblCellMar>
      </w:tblPr>
      <w:tblGrid>
        <w:gridCol w:w="1865"/>
        <w:gridCol w:w="387"/>
        <w:gridCol w:w="714"/>
        <w:gridCol w:w="2367"/>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468"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87"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left"/>
              <w:rPr>
                <w:caps w:val="false"/>
                <w:smallCaps w:val="false"/>
              </w:rPr>
            </w:pPr>
            <w:r>
              <w:rPr>
                <w:caps w:val="false"/>
                <w:smallCaps w:val="false"/>
              </w:rPr>
              <w:t> </w:t>
            </w:r>
          </w:p>
        </w:tc>
        <w:tc>
          <w:tcPr>
            <w:tcW w:w="236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tc>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1"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Kit Shing, CHEUNG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87"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 Shing, CHEUNG</w:t>
            </w:r>
            <w:r>
              <w:rPr>
                <w:rFonts w:ascii="Times New Roman;Times;Serif" w:hAnsi="Times New Roman;Times;Serif"/>
                <w:b/>
                <w:i w:val="false"/>
                <w:caps w:val="false"/>
                <w:smallCaps w:val="false"/>
                <w:sz w:val="20"/>
              </w:rPr>
              <w:t>.</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87" w:type="dxa"/>
            <w:tcBorders/>
            <w:vAlign w:val="center"/>
          </w:tcPr>
          <w:p>
            <w:pPr>
              <w:pStyle w:val="TableContents"/>
              <w:bidi w:val="0"/>
              <w:spacing w:before="0" w:after="283"/>
              <w:jc w:val="left"/>
              <w:rPr>
                <w:caps w:val="false"/>
                <w:smallCaps w:val="false"/>
              </w:rPr>
            </w:pPr>
            <w:r>
              <w:rPr>
                <w:caps w:val="false"/>
                <w:smallCaps w:val="false"/>
              </w:rPr>
              <w:t> </w:t>
            </w:r>
          </w:p>
        </w:tc>
        <w:tc>
          <w:tcPr>
            <w:tcW w:w="7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Etoiles Capital Group Co., Ltd., hereby severally constitute and appoint Kit Shing, CHEUNG and Hon Fai, TAM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405" w:type="dxa"/>
        <w:jc w:val="left"/>
        <w:tblInd w:w="0" w:type="dxa"/>
        <w:tblLayout w:type="fixed"/>
        <w:tblCellMar>
          <w:top w:w="0" w:type="dxa"/>
          <w:left w:w="0" w:type="dxa"/>
          <w:bottom w:w="28" w:type="dxa"/>
          <w:right w:w="0" w:type="dxa"/>
        </w:tblCellMar>
      </w:tblPr>
      <w:tblGrid>
        <w:gridCol w:w="1940"/>
        <w:gridCol w:w="60"/>
        <w:gridCol w:w="5960"/>
        <w:gridCol w:w="60"/>
        <w:gridCol w:w="1385"/>
      </w:tblGrid>
      <w:tr>
        <w:trPr/>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Kit Shing, CHEUNG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 and Chairman of the Board of Directors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 Shing, CHEUNG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Hon Fai, TAM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 Fai, TAM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Zhihan, LOU</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Zhihan, LOU</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Nancy YANG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YANG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Wesley CHU</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Wesley CHU</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Yeung Tak, CHEN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Yeung Tak, CHEN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9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Registrant’s duly authorized representative has signed this registration statement on Form F-1 in New York, NY on August 14, 2026.</w:t>
      </w:r>
    </w:p>
    <w:p>
      <w:pPr>
        <w:pStyle w:val="TextBody"/>
        <w:bidi w:val="0"/>
        <w:ind w:left="0" w:right="0" w:firstLine="36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590"/>
        <w:gridCol w:w="1880"/>
      </w:tblGrid>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Cogency Global Inc.</w:t>
            </w:r>
          </w:p>
        </w:tc>
      </w:tr>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35" w:name="ea030149601ex4-1.htm"/>
      <w:bookmarkStart w:id="36" w:name="ksea030149601ex41"/>
      <w:bookmarkEnd w:id="35"/>
      <w:bookmarkEnd w:id="36"/>
      <w:r>
        <w:rPr>
          <w:rFonts w:ascii="Times New Roman;Times;Serif" w:hAnsi="Times New Roman;Times;Serif"/>
          <w:b/>
          <w:i w:val="false"/>
          <w:caps w:val="false"/>
          <w:smallCaps w:val="false"/>
          <w:sz w:val="20"/>
        </w:rPr>
        <w:t>Exhibit 4.1</w:t>
      </w:r>
      <w:r>
        <w:br w:type="page"/>
      </w:r>
    </w:p>
    <w:p>
      <w:pPr>
        <w:pStyle w:val="TextBody"/>
        <w:bidi w:val="0"/>
        <w:jc w:val="right"/>
        <w:rPr>
          <w:caps w:val="false"/>
          <w:smallCaps w:val="false"/>
        </w:rPr>
      </w:pPr>
      <w:r>
        <w:rPr>
          <w:caps w:val="false"/>
          <w:smallCaps w:val="false"/>
        </w:rPr>
        <w:t> </w:t>
      </w:r>
    </w:p>
    <w:p>
      <w:pPr>
        <w:pStyle w:val="TextBody"/>
        <w:bidi w:val="0"/>
        <w:jc w:val="center"/>
        <w:rPr/>
      </w:pPr>
      <w:r>
        <w:rPr/>
        <w:drawing>
          <wp:inline distT="0" distB="0" distL="0" distR="0">
            <wp:extent cx="9048750" cy="699135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80"/>
                    <a:stretch>
                      <a:fillRect/>
                    </a:stretch>
                  </pic:blipFill>
                  <pic:spPr bwMode="auto">
                    <a:xfrm>
                      <a:off x="0" y="0"/>
                      <a:ext cx="9048750" cy="6991350"/>
                    </a:xfrm>
                    <a:prstGeom prst="rect">
                      <a:avLst/>
                    </a:prstGeom>
                  </pic:spPr>
                </pic:pic>
              </a:graphicData>
            </a:graphic>
          </wp:inline>
        </w:drawing>
      </w:r>
    </w:p>
    <w:p>
      <w:pPr>
        <w:pStyle w:val="TextBody"/>
        <w:bidi w:val="0"/>
        <w:jc w:val="center"/>
        <w:rPr>
          <w:color w:val="FFFFFF"/>
          <w:sz w:val="2"/>
        </w:rPr>
      </w:pPr>
      <w:r>
        <w:rPr>
          <w:color w:val="FFFFFF"/>
          <w:sz w:val="2"/>
        </w:rPr>
        <w:t>Etoiles Capital Group Co., Ltd SHARES NUMBER *******9,000,000,000******* CERT.9999 INCORPORATED UNDER THE LAWS OF THE NEVADA CUSIP 999999ZZ9 $0.0001 PAR VALUE COMMON STOCK COMMON STOCK THIS CERTIFIES THAT * SPECIMEN * * NINE BILLION AND 00/100 * Is The Owner of FULLY PAID AND NON-ASSESSABLE SHARES OF COMMON STOCK OF Etoiles Capital Group Co., Ltd Transferable on the books of the Corporation in person or by duly authorized attorney upon surrender of this Certificate properly endorsed. This Certificate is not valid until countersigned by the Transfer Agent and registered by the Registrar. JANUARY 01, 2009 Dated: COUNTERSIGNED AND REGISTERED: VSTOCK TRANSFER, LLC Transfer Agent and Registrar Chief Executive Officer By:____________________________ AUTHORIZED SIGNATURE</w:t>
      </w:r>
    </w:p>
    <w:p>
      <w:pPr>
        <w:pStyle w:val="TextBody"/>
        <w:bidi w:val="0"/>
        <w:jc w:val="right"/>
        <w:rPr>
          <w:b/>
        </w:rPr>
      </w:pPr>
      <w:bookmarkStart w:id="37" w:name="ea030149601ex21-1.htm"/>
      <w:bookmarkStart w:id="38" w:name="ksea030149601ex211"/>
      <w:bookmarkEnd w:id="37"/>
      <w:bookmarkEnd w:id="38"/>
      <w:r>
        <w:rPr>
          <w:b/>
        </w:rPr>
        <w:t>Exhibit 21.1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Subsidiaries of the Registrant</w:t>
      </w:r>
    </w:p>
    <w:p>
      <w:pPr>
        <w:pStyle w:val="TextBody"/>
        <w:bidi w:val="0"/>
        <w:spacing w:before="0" w:after="0"/>
        <w:ind w:left="0" w:right="0" w:hanging="0"/>
        <w:jc w:val="center"/>
        <w:rPr>
          <w:caps w:val="false"/>
          <w:smallCaps w:val="false"/>
        </w:rPr>
      </w:pPr>
      <w:r>
        <w:rPr>
          <w:caps w:val="false"/>
          <w:smallCaps w:val="false"/>
        </w:rPr>
        <w:t> </w:t>
      </w:r>
    </w:p>
    <w:tbl>
      <w:tblPr>
        <w:tblW w:w="4555" w:type="dxa"/>
        <w:jc w:val="left"/>
        <w:tblInd w:w="0" w:type="dxa"/>
        <w:tblLayout w:type="fixed"/>
        <w:tblCellMar>
          <w:top w:w="0" w:type="dxa"/>
          <w:left w:w="0" w:type="dxa"/>
          <w:bottom w:w="28" w:type="dxa"/>
          <w:right w:w="0" w:type="dxa"/>
        </w:tblCellMar>
      </w:tblPr>
      <w:tblGrid>
        <w:gridCol w:w="2660"/>
        <w:gridCol w:w="60"/>
        <w:gridCol w:w="1835"/>
      </w:tblGrid>
      <w:tr>
        <w:trPr/>
        <w:tc>
          <w:tcPr>
            <w:tcW w:w="266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Subsidiary</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of Incorporation</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Zynergy Holding Co., Limited</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British Virgin Islands</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Etoiles Consultancy Limited</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26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Etoiles Financial Group Limited</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9" w:name="ea030149601ex23-1.htm"/>
      <w:bookmarkStart w:id="40" w:name="ksea030149601ex231"/>
      <w:bookmarkEnd w:id="39"/>
      <w:bookmarkEnd w:id="40"/>
      <w:r>
        <w:rPr>
          <w:b/>
        </w:rPr>
        <w:t>Exhibit 23.1</w:t>
      </w:r>
      <w:r>
        <w:br w:type="page"/>
      </w:r>
    </w:p>
    <w:p>
      <w:pPr>
        <w:pStyle w:val="TextBody"/>
        <w:bidi w:val="0"/>
        <w:jc w:val="right"/>
        <w:rPr/>
      </w:pPr>
      <w:r>
        <w:rPr/>
        <w:t> </w:t>
      </w:r>
    </w:p>
    <w:tbl>
      <w:tblPr>
        <w:tblW w:w="7250" w:type="dxa"/>
        <w:jc w:val="left"/>
        <w:tblInd w:w="0" w:type="dxa"/>
        <w:tblLayout w:type="fixed"/>
        <w:tblCellMar>
          <w:top w:w="0" w:type="dxa"/>
          <w:left w:w="0" w:type="dxa"/>
          <w:bottom w:w="0" w:type="dxa"/>
          <w:right w:w="0" w:type="dxa"/>
        </w:tblCellMar>
      </w:tblPr>
      <w:tblGrid>
        <w:gridCol w:w="3045"/>
        <w:gridCol w:w="4205"/>
      </w:tblGrid>
      <w:tr>
        <w:trPr/>
        <w:tc>
          <w:tcPr>
            <w:tcW w:w="3045" w:type="dxa"/>
            <w:tcBorders/>
            <w:vAlign w:val="center"/>
          </w:tcPr>
          <w:p>
            <w:pPr>
              <w:pStyle w:val="TableContents"/>
              <w:bidi w:val="0"/>
              <w:spacing w:before="0" w:after="283"/>
              <w:jc w:val="left"/>
              <w:rPr/>
            </w:pPr>
            <w:r>
              <w:rPr/>
              <w:drawing>
                <wp:inline distT="0" distB="0" distL="0" distR="0">
                  <wp:extent cx="1885950" cy="6096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81"/>
                          <a:stretch>
                            <a:fillRect/>
                          </a:stretch>
                        </pic:blipFill>
                        <pic:spPr bwMode="auto">
                          <a:xfrm>
                            <a:off x="0" y="0"/>
                            <a:ext cx="1885950" cy="609600"/>
                          </a:xfrm>
                          <a:prstGeom prst="rect">
                            <a:avLst/>
                          </a:prstGeom>
                        </pic:spPr>
                      </pic:pic>
                    </a:graphicData>
                  </a:graphic>
                </wp:inline>
              </w:drawing>
            </w:r>
            <w:r>
              <w:rPr/>
              <w:t> </w:t>
            </w:r>
          </w:p>
        </w:tc>
        <w:tc>
          <w:tcPr>
            <w:tcW w:w="4205" w:type="dxa"/>
            <w:tcBorders/>
            <w:vAlign w:val="center"/>
          </w:tcPr>
          <w:p>
            <w:pPr>
              <w:pStyle w:val="TableContents"/>
              <w:bidi w:val="0"/>
              <w:jc w:val="left"/>
              <w:rPr>
                <w:b/>
              </w:rPr>
            </w:pPr>
            <w:r>
              <w:rPr>
                <w:b/>
              </w:rPr>
              <w:t>SRCO, C.P.A., Professional Corporation</w:t>
            </w:r>
          </w:p>
          <w:p>
            <w:pPr>
              <w:pStyle w:val="TableContents"/>
              <w:bidi w:val="0"/>
              <w:jc w:val="left"/>
              <w:rPr>
                <w:b/>
              </w:rPr>
            </w:pPr>
            <w:r>
              <w:rPr>
                <w:b/>
              </w:rPr>
              <w:t>Certified Public Accountants</w:t>
            </w:r>
          </w:p>
          <w:p>
            <w:pPr>
              <w:pStyle w:val="TableContents"/>
              <w:bidi w:val="0"/>
              <w:jc w:val="left"/>
              <w:rPr/>
            </w:pPr>
            <w:r>
              <w:rPr/>
              <w:t>646 N French Road, Unit 6</w:t>
            </w:r>
          </w:p>
          <w:p>
            <w:pPr>
              <w:pStyle w:val="TableContents"/>
              <w:bidi w:val="0"/>
              <w:jc w:val="left"/>
              <w:rPr/>
            </w:pPr>
            <w:r>
              <w:rPr/>
              <w:t>Amherst, NY, 14228</w:t>
            </w:r>
          </w:p>
          <w:p>
            <w:pPr>
              <w:pStyle w:val="TableContents"/>
              <w:bidi w:val="0"/>
              <w:jc w:val="left"/>
              <w:rPr/>
            </w:pPr>
            <w:r>
              <w:rPr/>
              <w:t>U.S.A.</w:t>
            </w:r>
          </w:p>
          <w:p>
            <w:pPr>
              <w:pStyle w:val="TableContents"/>
              <w:bidi w:val="0"/>
              <w:jc w:val="left"/>
              <w:rPr/>
            </w:pPr>
            <w:r>
              <w:rPr/>
              <w:t> </w:t>
            </w:r>
          </w:p>
          <w:p>
            <w:pPr>
              <w:pStyle w:val="TableContents"/>
              <w:bidi w:val="0"/>
              <w:jc w:val="left"/>
              <w:rPr/>
            </w:pPr>
            <w:r>
              <w:rPr/>
              <w:t>Tel: 416 428 1391 &amp; 416 671 7292</w:t>
            </w:r>
          </w:p>
          <w:p>
            <w:pPr>
              <w:pStyle w:val="TableContents"/>
              <w:bidi w:val="0"/>
              <w:jc w:val="left"/>
              <w:rPr/>
            </w:pPr>
            <w:r>
              <w:rPr/>
              <w:t>Fax: 905 882 9580</w:t>
            </w:r>
          </w:p>
          <w:p>
            <w:pPr>
              <w:pStyle w:val="TableContents"/>
              <w:bidi w:val="0"/>
              <w:jc w:val="left"/>
              <w:rPr/>
            </w:pPr>
            <w:r>
              <w:rPr/>
              <w:t>Email: info@srco.ca</w:t>
            </w:r>
          </w:p>
          <w:p>
            <w:pPr>
              <w:pStyle w:val="TableContents"/>
              <w:bidi w:val="0"/>
              <w:spacing w:before="0" w:after="283"/>
              <w:jc w:val="left"/>
              <w:rPr/>
            </w:pPr>
            <w:r>
              <w:rPr/>
              <w:t>www.srco.ca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report dated May 13, 2026, on the consolidated financial statements of Etoiles Capital Group Co., Ltd and its subsidiaries (the Company) comprising the consolidated statement of financial position as of December 31, 2025, and the related consolidated statements of operations and comprehensive income, changes in shareholders’ equity, and cash flows for the year ended December 31, 2025 and related notes which is incorporated by reference in this Registration Statement on Form S-4.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SRCO, C.P.A., Professional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Amherst,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41" w:name="ea030149601ex99-1.htm"/>
      <w:bookmarkStart w:id="42" w:name="ksea030149601ex991"/>
      <w:bookmarkEnd w:id="41"/>
      <w:bookmarkEnd w:id="42"/>
      <w:r>
        <w:rPr>
          <w:rFonts w:ascii="Times New Roman;Times;Serif" w:hAnsi="Times New Roman;Times;Serif"/>
          <w:b/>
          <w:sz w:val="20"/>
        </w:rPr>
        <w:t>Exhibit 99.1</w:t>
      </w:r>
      <w:r>
        <w:br w:type="page"/>
      </w:r>
    </w:p>
    <w:p>
      <w:pPr>
        <w:pStyle w:val="TextBody"/>
        <w:bidi w:val="0"/>
        <w:jc w:val="center"/>
        <w:rPr/>
      </w:pPr>
      <w:r>
        <w:rPr/>
        <w:t> </w:t>
      </w:r>
    </w:p>
    <w:p>
      <w:pPr>
        <w:pStyle w:val="TextBody"/>
        <w:bidi w:val="0"/>
        <w:jc w:val="center"/>
        <w:rPr/>
      </w:pPr>
      <w:r>
        <w:rPr/>
        <w:drawing>
          <wp:inline distT="0" distB="0" distL="0" distR="0">
            <wp:extent cx="6991350" cy="904875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82"/>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VOTE ON INTERNET Go to http://www.vstocktransfer.com/proxy on Proxy Voter Login and log on using the Click control number. Voting will be open until below 11:59 p.m., Eastern Time, on [ ], 2026. CONTROL # VOTE BY MAIL Mark, sign and date your proxy card and return it in the envelope we have provided. * SPECIMEN * 1 MAIN STREET ANYWHERE PA 99999-9999 ATTEND THE MEETING you would like to vote in person, please attend the If General Meeting to be held on [ ], 2026 at Annual a.m., Eastern Time ([ ], 2026, at 9:00 p.m., 9:00 time), physically at Unit 03-04, 25/F, Cosco local 183 Queen's Road Central, Sheung Wan, Tower, Kong or to attend virtually please register via Hong the following URL: https://meeting.vstocktransfer.com/ETOILES[MONTH]26 Please Vote, Sign, Date and Return Promptly in the Enclosed Envelope. Annual General Meeting of Shareholders - Etoiles Capital Group Co., Ltd. DETACH PROXY CARD HERE TO VOTE BY MAIL THE BOARD OF DIRECTORS RECOMMENDS A VOTE "FOR" ALL LISTED PROPOSALS. AGAINST ABSTAIN FOR Proposal 1: Domestication Proposal consider and vote upon a proposal to approve by special resolution the change of Etoiles Capital's jurisdiction of incorporation from the To Islands to the State of Nevada by way of continuation out of the Cayman Islands and deregistration as an exempted company in the Cayman Islands, and by continuation and domestication as a corporation incorporated under the laws of the State of Nevada (the Cayman "domestication"); Proposal 2: New Charter Proposal consider and vote upon a proposal to approve by special resolution the proposed new certificate of incorporation and an addendum to the To new certificate of incorporation of the post-domestication company (the "Proposed Charter"), a copy of which is attached as Annex B1 proposed Annex B2, respectively, to become effective at the effective time of the domestication and to govern post-domestication company, in and substitution for the Company's second amended and restated memorandum and articles of association (the "Existing Organizational Documents"); Proposal 3: Election of Directors elect the following four director nominees named in this proxy statement/prospectus to serve as directors for three-year terms expiring at the To general meeting in 2029 and until their successors are duly elected and qualified: Kit Shing, CHEUNG, Wesley CHU, Yeung Tak, CHEN annual and Nancy YANG; Proposal 4: Appointment of Independent Registered Public Accounting Firm Proposal ratify by ordinary resolution the appointment of SRCO, C.P.A., Professional Corporation as our independent registered public accounting firm To for the fiscal year ending December 31, 2026; and Proposal 5: Adjournment Proposal approve by ordinary resolution the adjournment of the annual general meeting to a later date or dates, if necessary, to permit further To and vote of proxies if, based upon the tabulated vote at the time of the annual general meeting, the domestication proposal and the solicitation new charter proposal would not be duly approved and adopted by our shareholders. Note: To transact such other business that is properly presented at the annual general meeting and any adjournments or postponements thereof. Signature, if held jointly Signature Date ______________________________________________ ________________________ ______________________________________________ Note: This proxy must be signed exactly as the name appears hereon. When shares are held jointly, each holder should sign. When signing as executor, administrator, attorney, trustee or guardian, please give full title as such. If the signer is a corporation, please sign full corporate name by a duly authorized officer, giving full title as such. If signer is a partnership, please sign in partnership name by an authorized person. To change the address on your account, please check the box at right and indicate your new address. * SPECIMEN * AC:ACCT9999</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83"/>
                    <a:stretch>
                      <a:fillRect/>
                    </a:stretch>
                  </pic:blipFill>
                  <pic:spPr bwMode="auto">
                    <a:xfrm>
                      <a:off x="0" y="0"/>
                      <a:ext cx="6991350" cy="9048750"/>
                    </a:xfrm>
                    <a:prstGeom prst="rect">
                      <a:avLst/>
                    </a:prstGeom>
                  </pic:spPr>
                </pic:pic>
              </a:graphicData>
            </a:graphic>
          </wp:inline>
        </w:drawing>
      </w:r>
    </w:p>
    <w:p>
      <w:pPr>
        <w:pStyle w:val="TextBody"/>
        <w:bidi w:val="0"/>
        <w:jc w:val="center"/>
        <w:rPr>
          <w:color w:val="FFFFFF"/>
          <w:sz w:val="2"/>
        </w:rPr>
      </w:pPr>
      <w:r>
        <w:rPr>
          <w:color w:val="FFFFFF"/>
          <w:sz w:val="2"/>
        </w:rPr>
        <w:t>ETOILES CAPITAL GROUP CO., LTD. Annual General Meeting of Shareholders [ ], 2026 at 9:00 a.m., Eastern Time ([ ], 2026, at 9:00 p.m., local time) IMPORTANT NOTICE REGARDING THE AVAILABILITY OF PROXY MATERIALS FOR THE ANNUAL GENERAL MEETING OF SHAREHOLDERS The material for this meeting is available online at: https://ts.vstocktransfer.com/irhlogin/I-ETOILES To Register for the Virtual Meeting, Please Visit: https://meeting.vstocktransfer.com/ETOILES[MONTH]26 DETACH PROXY CARD HERE TO VOTE BY MAIL THIS PROXY IS SOLICITED ON BEHALF OF THE BOARD OF DIRECTORS undersigned hereby appoints Kit Shing, CHEUNG as proxy with full power of substitution, to represent and to vote as set forth herein all the The A Ordinary Shares of Etoiles Capital Group Co., Ltd. which the undersigned is entitled to vote at the Annual General Meeting of Class Shareholders and any adjournments or postponements thereof, as designated below. This proxy, when properly executed, will be voted as directed. If no direction is made, the proxy shall be voted "FOR" all listed Proposals. Delivery of Future Proxy Materials. If you would like to reduce the costs incurred by Etoiles Capital Group Co., Ltd in mailing materials, you can consent to receiving all Electronic proxy statements, proxy cards and annual reports electronically via email or the internet. To sign up for electronic delivery, please provide your email address below and check future here to indicate you consent to receive or access proxy materials electronically in future years. Email Address: ________________________________________________________________ PLEASE INDICATE YOUR VOTE ON THE REVERSE SIDE (Continued and To be Signed on Reverse Side)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40"/>
        <w:jc w:val="right"/>
        <w:rPr>
          <w:rFonts w:ascii="Times New Roman;Times;Serif" w:hAnsi="Times New Roman;Times;Serif"/>
          <w:b/>
          <w:i w:val="false"/>
          <w:caps w:val="false"/>
          <w:smallCaps w:val="false"/>
          <w:sz w:val="24"/>
        </w:rPr>
      </w:pPr>
      <w:bookmarkStart w:id="43" w:name="ea030149601ex-fee.htm"/>
      <w:bookmarkStart w:id="44" w:name="ksea030149601exfee"/>
      <w:bookmarkEnd w:id="43"/>
      <w:bookmarkEnd w:id="4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S-4</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Etoiles Capital Group Co.,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20" w:type="dxa"/>
        <w:jc w:val="left"/>
        <w:tblInd w:w="0" w:type="dxa"/>
        <w:tblLayout w:type="fixed"/>
        <w:tblCellMar>
          <w:top w:w="0" w:type="dxa"/>
          <w:left w:w="0" w:type="dxa"/>
          <w:bottom w:w="0" w:type="dxa"/>
          <w:right w:w="0" w:type="dxa"/>
        </w:tblCellMar>
      </w:tblPr>
      <w:tblGrid>
        <w:gridCol w:w="530"/>
        <w:gridCol w:w="60"/>
        <w:gridCol w:w="800"/>
        <w:gridCol w:w="60"/>
        <w:gridCol w:w="905"/>
        <w:gridCol w:w="60"/>
        <w:gridCol w:w="575"/>
        <w:gridCol w:w="60"/>
        <w:gridCol w:w="1100"/>
        <w:gridCol w:w="60"/>
        <w:gridCol w:w="1100"/>
        <w:gridCol w:w="60"/>
        <w:gridCol w:w="199"/>
        <w:gridCol w:w="796"/>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42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15,110,000</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14.79</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223,476,900.00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30,862.16</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6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223,476,900.00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30,862.16</w:t>
            </w:r>
          </w:p>
        </w:tc>
      </w:tr>
      <w:tr>
        <w:trPr/>
        <w:tc>
          <w:tcPr>
            <w:tcW w:w="636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30,862.16</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9"/>
        <w:gridCol w:w="23"/>
        <w:gridCol w:w="9943"/>
      </w:tblGrid>
      <w:tr>
        <w:trPr/>
        <w:tc>
          <w:tcPr>
            <w:tcW w:w="239"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3" w:type="dxa"/>
            <w:tcBorders/>
            <w:vAlign w:val="center"/>
          </w:tcPr>
          <w:p>
            <w:pPr>
              <w:pStyle w:val="TableContents"/>
              <w:bidi w:val="0"/>
              <w:spacing w:before="0" w:after="283"/>
              <w:jc w:val="both"/>
              <w:rPr/>
            </w:pPr>
            <w:r>
              <w:rPr/>
              <w:t>Following the effectiveness of this registration statement, Etoiles Capital Group Co., Ltd. (“Etoiles”) intends, subject to the approval of Etoiles’ shareholders, to change of Etoiles’ jurisdiction of incorporation from the Cayman Islands to the State of Nevada by deregistering as an exempted company in the Cayman Islands and continuing and domesticating as a corporation incorporated under the laws of the State of Nevada (the “Domestication”). The continuing entity following the Domestication (“Etoiles Nevada”) will continue to be named Etoiles Capital Group Co., Ltd. after the Domestication. All securities being registered will be issued by Etoiles Nevada following the Domestication.</w:t>
              <w:br/>
              <w:br/>
              <w:t>Pursuant to Rule 416(a) under the Securities Act of 1933, as amended (the “Securities Act”), the securities being registered hereunder include such indeterminate number of additional securities as may be issuable to prevent dilution resulting from stock splits, dividends or similar transactions.</w:t>
              <w:br/>
              <w:br/>
              <w:t>The total number of shares of Etoiles Nevada’s Common Stocks being registered hereby represents the number of Class A ordinary shares of Etoiles that are expected to be issued and outstanding at the effective time of the domestication, based on shares issued and outstanding as of August 14, 2026.</w:t>
              <w:br/>
              <w:br/>
              <w:t>Pursuant to Rules 457(c) and 457(f)(1) under the Securities Act, and solely for the purpose of calculating the registration fee, the proposed maximum offering price per share is $0.9799, which is the average of the high $15.68 and low $13.90 prices of Class A ordinary shares of Etoiles on The Nasdaq Capital Market on October 3, 2026 (such date being the last trading date of the Etoiles’ Class A Ordinary Shares prior to the Securities and Exchange Commission’s order suspending trading in the securities)</w:t>
              <w:br/>
              <w:br/>
              <w:t>Calculated pursuant to Rule 457 under the Securities Act by multiplying the proposed maximum aggregate offering price of securities to be registered by 0.0001381.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58349/000121390026056086/ea0288885-20f_etoiles.htm" TargetMode="External"/><Relationship Id="rId3" Type="http://schemas.openxmlformats.org/officeDocument/2006/relationships/hyperlink" Target="https://www.sec.gov/Archives/edgar/data/2058349/000121390025096342/ea0260374-6k_etoiles.htm" TargetMode="External"/><Relationship Id="rId4" Type="http://schemas.openxmlformats.org/officeDocument/2006/relationships/hyperlink" Target="https://www.sec.gov/Archives/edgar/data/2058349/000121390025103913/ea0263135-6k_etoiles.htm" TargetMode="External"/><Relationship Id="rId5" Type="http://schemas.openxmlformats.org/officeDocument/2006/relationships/hyperlink" Target="https://www.sec.gov/Archives/edgar/data/2058349/000121390025105625/ea0263577-6k_etoiles.htm" TargetMode="External"/><Relationship Id="rId6" Type="http://schemas.openxmlformats.org/officeDocument/2006/relationships/hyperlink" Target="https://www.sec.gov/Archives/edgar/data/2058349/000121390025114427/ea0267104-6k_etoiles.htm" TargetMode="External"/><Relationship Id="rId7" Type="http://schemas.openxmlformats.org/officeDocument/2006/relationships/hyperlink" Target="https://www.sec.gov/Archives/edgar/data/2058349/000121390025126325/ea0269664-6k_etoiles.htm" TargetMode="External"/><Relationship Id="rId8" Type="http://schemas.openxmlformats.org/officeDocument/2006/relationships/hyperlink" Target="https://www.sec.gov/Archives/edgar/data/2058349/000121390026076198/ea0297375-6k_etoiles.htm" TargetMode="External"/><Relationship Id="rId9" Type="http://schemas.openxmlformats.org/officeDocument/2006/relationships/hyperlink" Target="https://www.sec.gov/Archives/edgar/data/2058349/000121390026076929/ea0297483-6k_etoiles.htm" TargetMode="External"/><Relationship Id="rId10" Type="http://schemas.openxmlformats.org/officeDocument/2006/relationships/hyperlink" Target="https://www.sec.gov/Archives/edgar/data/2058349/000121390025072964/ea0251894-8a12b_etoiles.htm"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2.jpeg"/><Relationship Id="rId76" Type="http://schemas.openxmlformats.org/officeDocument/2006/relationships/image" Target="media/image3.jpeg"/><Relationship Id="rId77" Type="http://schemas.openxmlformats.org/officeDocument/2006/relationships/image" Target="media/image4.jpeg"/><Relationship Id="rId78" Type="http://schemas.openxmlformats.org/officeDocument/2006/relationships/image" Target="media/image5.jpeg"/><Relationship Id="rId79" Type="http://schemas.openxmlformats.org/officeDocument/2006/relationships/image" Target="media/image6.jpeg"/><Relationship Id="rId80" Type="http://schemas.openxmlformats.org/officeDocument/2006/relationships/image" Target="media/image7.jpeg"/><Relationship Id="rId81" Type="http://schemas.openxmlformats.org/officeDocument/2006/relationships/image" Target="media/image8.jpeg"/><Relationship Id="rId82" Type="http://schemas.openxmlformats.org/officeDocument/2006/relationships/image" Target="media/image9.jpeg"/><Relationship Id="rId83" Type="http://schemas.openxmlformats.org/officeDocument/2006/relationships/image" Target="media/image10.jpeg"/><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190</Pages>
  <Words>80844</Words>
  <Characters>417785</Characters>
  <CharactersWithSpaces>498974</CharactersWithSpaces>
  <Paragraphs>7746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