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October 2025</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001-42793</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Etoiles Capital Group Co., Ltd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(Registrant’s Name)</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 03-04, 25/F, Cosco Tower, 183 Queen’s Road Central,</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Sheung Wang, Hong Kong</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38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Suspension of Trading</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October 3, 2025, the U.S. Securities and Exchange Commission (the “SEC”) made an order suspending trading in the securities of Etoiles Capital Group Co., Ltd (the “Company”) for the period from 4:00 a.m. ET on October 6, 2025, through 11:59 p.m. p.m. ET on October 17, 2025 (the “Suspension Period”) because of potential manipulation in the securities of the Company effectuated through recommendations, made to investors by unknown persons via social media to purchase the securities of the Company, which appear to be designed to artificially inflate the price and volume of the securities of the Company. The order is available at </w:t>
      </w:r>
      <w:r>
        <w:rPr>
          <w:rFonts w:ascii="Times New Roman" w:cs="Times New Roman" w:eastAsia="Times New Roman" w:hAnsi="Times New Roman"/>
          <w:sz w:val="18"/>
          <w:szCs w:val="18"/>
          <w:i w:val="1"/>
          <w:iCs w:val="1"/>
          <w:color w:val="auto"/>
        </w:rPr>
        <w:t>https://www.sec.gov/files/litigation/suspensions/2025/34-104163.pdf</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wishes to state clearly that it has not authorized, participated in, or been involved with any promotion or recommendation of its securities via social media or otherwise. The Company’s management and the board of directors take this matter very seriously. The Company is fully committed to cooperating with the SEC and all relevant regulatory authorities during the Suspension Period.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further emphasizes that its daily operations and business activities remain normal and unaffected by the suspension of trading. The Company continues to carry out its business plans and serve its clients as usual.</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Company becomes aware of any false, misleading, or libelous information being circulated concerning the Company, its management, or its securities, the Company will take all necessary and appropriate legal actions to safeguard its interests and to protect its shareholders.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Etoiles Capital Group Co., Ltd</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Kit Shing,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26035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i w:val="1"/>
          <w:iCs w:val="1"/>
          <w:color w:val="auto"/>
        </w:rPr>
        <w:t>Kit Shing, CHEUNG</w:t>
      </w:r>
    </w:p>
    <w:p>
      <w:pPr>
        <w:spacing w:after="0" w:line="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Director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6,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2025-10-06T09:33:27Z</dcterms:created>
  <dcterms:modified xsi:type="dcterms:W3CDTF">2025-10-06T09:33:27Z</dcterms:modified>
</cp:coreProperties>
</file>