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333- 290184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ETOILES CAPITAL GROUP CO., LTD</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3,213,000 CLASS A ORDINARY SHARES</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Resale Prospectus relates to the resale by the selling shareholders (the “Selling Shareholders”) named in this prospectus from time to time of up to 3,213,000 of our Class A ordinary shares, par value US$0.0001 per share (the “Shares”). We will not receive any of the proceeds from the sale of Class A Ordinary Shares by the Selling Shareholders named in this prospectus.</w:t>
      </w:r>
    </w:p>
    <w:p>
      <w:pPr>
        <w:spacing w:after="0" w:line="108"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registration of the Class A Ordinary Shares covered by this prospectus does not mean that the Selling Shareholders will offer or sell any of such Class A Ordinary Shares. The Selling Shareholders named in this prospectus, or their donees, pledgees, transferees or other successors-in-interest, may resell the Class A Ordinary Shares covered by this prospectus through public or private transactions at prevailing market prices, at prices related to prevailing market prices or at privately negotiated prices. For additional information on the possible methods of sale that may be used by the Selling Shareholders, you should refer to the section of this prospectus entitled “Plan of Distribution.”</w:t>
      </w:r>
    </w:p>
    <w:p>
      <w:pPr>
        <w:spacing w:after="0" w:line="116"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Class A Ordinary Shares subject to resale hereunder will have been issued by us and acquired by the Selling Shareholders prior to any resale of such shares pursuant to this prospectus.</w:t>
      </w:r>
    </w:p>
    <w:p>
      <w:pPr>
        <w:spacing w:after="0" w:line="94" w:lineRule="exact"/>
        <w:rPr>
          <w:sz w:val="24"/>
          <w:szCs w:val="24"/>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 underwriter or other person has been engaged to facilitate the sale of the Class A Ordinary Shares in this Offering. We will bear all costs, expenses and fees in connection with the registration of the Class A Ordinary Shares. The Selling Shareholders will bear all commissions and discounts, if any, attributable to their respective sales of our Class A Ordinary Shares.</w:t>
      </w:r>
    </w:p>
    <w:p>
      <w:pPr>
        <w:spacing w:after="0" w:line="10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Ordinary Shares is traded on The Nasdaq Capital Market, Nasdaq, under the symbol “EFTY.” On September 18, 2025, the reported sales price of our Class A Ordinary Shares on The Nasdaq Capital Market was $9.30 per share.</w:t>
      </w:r>
    </w:p>
    <w:p>
      <w:pPr>
        <w:spacing w:after="0" w:line="94"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will be subject to reduced public company reporting requirements. See “Prospectus Summary — Implications of Being an Emerging Growth Company and a Foreign Private Issuer” and “Risk Factors” on pages 11 and 15, respectively.</w:t>
      </w:r>
    </w:p>
    <w:p>
      <w:pPr>
        <w:spacing w:after="0" w:line="10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“controlled company” as defined under the Nasdaq Stock Market Rules because our Controlling Shareholder owns and holds more than 50% of our voting power, assuming that the underwriters do not exercise their over-allotment option.</w:t>
      </w:r>
    </w:p>
    <w:p>
      <w:pPr>
        <w:spacing w:after="0" w:line="94"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dual class ordinary share structure. Our Ordinary Shares is divided into Class A Ordinary Shares and Class B Ordinary Shares. Holders of our Class A Ordinary Shares are entitled to one (1) vote per share and holders of our Class B Ordinary Shares are entitled to ten (10) votes per share. In no event shall Class A Ordinary Shares be convertible into Class B Ordinary Shares. Each Class B Ordinary Share is convertible into one fully paid Class A Ordinary Share at the option of the holder, at any time after issue and without the payment of any additional sum. See “Description of Share Capital — Ordinary Shares” for more details regarding our Class A Ordinary Shares and Class B Ordinary Shares.</w:t>
      </w:r>
    </w:p>
    <w:p>
      <w:pPr>
        <w:spacing w:after="0" w:line="116"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our Controlling Shareholder is the beneficial owners of an aggregate of 10,287,000 Class A Ordinary Shares and 5,000,000 Class B Ordinary Shares, respectively, which will represent an aggregate of 92.59% of the total voting power, among which 15.80% of the voting power stem from its 10,287,000 Class A Ordinary Shares and 76.79% of the voting power stem from its 5,000,000 Class B Ordinary Shares. As a result, we will be a “controlled company” as defined under corporate governance rules of Nasdaq Stock Market and, therefore, eligible for certain exemptions from the corporate governance requirements of the Nasdaq Stock Market Rules. If we cease to be a foreign private issuer, we intend to rely on these exemptions. Furthermore, the Controlling Shareholder will be able to exert significant control over our management and affairs, including approval of significant corporate transactions. For additional information, see “Risk Factors — Risks Related to Our Class A Ordinary Shares — Our Controlling Shareholder has significant voting power and may take actions that may not be in the best interests of our other shareholders” on page 31 for further details.</w:t>
      </w:r>
    </w:p>
    <w:p>
      <w:pPr>
        <w:spacing w:after="0" w:line="120" w:lineRule="exact"/>
        <w:rPr>
          <w:sz w:val="24"/>
          <w:szCs w:val="24"/>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We are not a Hong Kong operating company, but an offshore holding company incorporated in the Cayman Islands. As a holding company with no material operations of our own, we conduct our operations through our operating company in Hong Kong, Etoiles Consultancy Limited (“Etoiles Consultancy”, also “Hong Kong Operating Subsidiary”). We also own Etoiles Financial Group Limited (“Etoiles Financial”), a company with no material operations of its own and is mainly used to handle administrative expenses. This is an offering of the Class A Ordinary Shares of Etoiles Capital Group Co., Ltd, the holding company in the Cayman Islands, instead of the shares of Etoiles Consultancy and Etoiles Financial. References to the “Company”, “we”, “us”, and “our” in this prospectus are to Etoiles Cayman, the Cayman Islands entity that will issue the Class A Ordinary Shares being offered, and its wholly-owned and indirect wholly-owned subsidiaries. References to Etoiles Consultancy in this prospectus is to the Hong Kong entity operating the business and generating all of the revenue and profit stated in the consolidated financial statements of the Company. The Company’s ownership interest in Etoiles Consultancy and Etoiles Financial is held through an intermediate company in the British Virgin Islands (the “BVI”). Etoiles Consultancy and Etoiles Financial are wholly-owned subsidiary of Zynergy Holding Co., Limited, a company incorporated in the BVI. Zynergy Holding Co., Limited is wholly-owned by Etoiles Cayman. Investors in our Class A Ordinary Shares should be aware that they may never hold equity interests in the Hong Kong operating company directly. Investors are purchasing equity solely in Etoiles Cayman, our Cayman Islands holding company, which indirectly owns equity interests in the Hong Kong operating company. Because of our corporate structure, we as well as our investors are subject to unique risks due to uncertainty of the interpretation and the application of PRC laws and regulations. We are also subject to the risks of uncertainty about any future actions of the PRC government in this regard. We may also be subject to sanctions imposed by PRC regulatory agencies, including the China Securities Regulatory Commission (“CSRC”), if we fail to comply with their rules and regulations. PRC regulatory authorities could disallow our operating structure in the future, and this would likely result in a material change in our operations in Hong Kong and/or the value of our securities, which could cause the value of such securities to significantly decline or become worthless. See “Risk Factors” beginning on page 15 of this prospectus for a discussion of risks facing the Company and the Offering as a result of this structure.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There are legal and operational risks associated with being based in and having the majority of our operations in Hong Kong. The PRC government may exercise significant oversight and discretion over the conduct of our business and may intervene or influence our operations at any time. Such government actions could result in a material change in our operations and/or the value of the securities we are registering for sale; could significantly limit or completely hinder our ability to continue our operations; could significantly limit or completely hinder our ability to offer or continue to offer our securities to investors; and may cause the value of our securities to significantly decline or be worthless. See “Risk Factors — Risks Related to Doing Business in Hong Kong — The PRC government may intervene or influence our operations at any time, which could result in a material change in our operations and/or the value of the securities we are registering for sale” on page 23 for further details.</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The PRC government initiated a series of regulatory actions and made a number of public statements on the regulation of business operations in certain areas in China with little advance notice, including cracking down on illegal activities in the securities market, enhancing supervision over China-based companies listed overseas using variable interest entity (“VIE”) structure, adopting new measures to extend the scope of cybersecurity reviews, and expanding the efforts in anti-monopoly enforcement. We do not believe that we are directly subject to these regulatory actions or statements, as we do not operate in mainland China, do not have a VIE structure and our business does not involve the collection of user data, implicate cybersecurity, or involve any other type of restricted industry.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operations or our ability to accept foreign investments and list on a U.S. exchange. Any change in foreign investment regulations, and other policies in China or related enforcement actions by the PRC government could result in a material change in our operations and/or the value of the securities we are registering for sale and could significantly limit or completely hinder our ability to offer or continue to offer our securities to investors or cause the value of our securities to significantly decline or be worthless. See “Risk Factors — Risks Related to Doing Business in Hong Kong — 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 and “Risk Factors — Risks Related to Doing Business in Hong Kong — Any actions by the PRC government to exert more oversight and control over offerings that are conducted overseas and/or foreign investment in China-based issuers, such actions could significantly limit or completely hinder our ability to offer or continue to offer securities to investors and cause the value of such securities to significantly decline or become worthless” on page 23 and 24, respectively, for further details.</w:t>
      </w:r>
    </w:p>
    <w:p>
      <w:pPr>
        <w:spacing w:after="0" w:line="19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Our Class A Ordinary Shares may be prohibited from being trading on a national securities exchange or in the over-the-counter market in the United States if the Public Company Accounting Oversight Board (“PCAOB”) is unable to inspect our auditors for two consecutive years. The Holding Foreign Companies Accountable Act (the “HFCA Act”) was enacted on December 18, 2020. Pursuant to the HFCA Act, if the SEC determines that we have filed audit reports issued by a registered public accounting firm that has not been subject to inspection by the PCAOB, for three consecutive years beginning in 2021, the SEC may prohibit our Class A Ordinary Shares from being traded on a national securities exchange or in the over-the-counter market in the United States. On December 23, 2022, the Accelerating Holding Foreign Companies Accountable Act (the “AHFCA Act”) was enacted, which amended the HFCA Act by requiring the SEC to prohibit an issuer’s securities from trading on a national securities exchange or in the over-the-counter market in the United States if its auditor is not subject to PCAOB inspections for two consecutive years instead of three. On December 29, 2022, a legislation entitled “Consolidated Appropriations Act, 2023”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 On December 16, 2021, the PCAOB issued a report on its determinations that it was unable to inspect or investigate completely PCAOB-registered public accounting firms headquartered in mainland China and in Hong Kong, because of positions taken by PRC authorities in those jurisdictions. The PCAOB made its determinations pursuant to PCAOB Rule 6100, which provides a framework for how the PCAOB fulfils its responsibilities under the HFCA. The report further listed in its Appendix A and Appendix B, Registered Public Accounting Firms Subject to the mainland China Determination and Registered Public Accounting Firms Subject to the Hong Kong Determination, respectively. Our auditor, SRCO, C.P.A., Professional Corporation, located at Amherst, New York, registered with the PCAOB, and has been inspected by the PCAOB on a regular basis, with the last inspection in 2023. Our auditor is subject to laws in the United States pursuant to which the PCAOB conducts regular inspections to assess our auditor’s compliance with the applicable professional standards. In addition, our auditors did not appear as part of the PCAOB’s report of determinations under the lists in Appendix A or Appendix B of the report issued by the PCAOB on December 16, 2021. On August 26, 2022, the CSRC, the Ministry of Finance of the PRC, and the PCAOB signed a Statement of Protocol, or the Protocol, governing inspections and investigations of audit firms based in China and Hong Kong and taking the first step toward opening access for the PCAOB to inspect and investigate registered public accounting firms headquartered in mainland China and Hong Kong. Pursuant to the Protocol, the PCAOB shall have independent discretion to select any issuer audits for inspection or investigation and has the unfettered ability to transfer information to the SEC.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continues to demand complete access in mainland China and Hong Kong moving forward and has resumed regular inspections since March 2023. The PCAOB is continuingly pursuing ongoing investigations and may initiate new investigations as needed The PCAOB has indicated that it will act immediately to consider the need to issue new determinations with the HFCA Act if needed. As a result, the time period before the Company’s securities may be prohibited from trading or delisted has been decreased accordingly. Notwithstanding the foregoing, in the event it is later determined that the PCAOB is unable to inspect or investigate completely our auditor, then such lack of inspection could cause our securities to be delisted from the stock exchange. The delisting of our Class A Ordinary Shares, or the threat of their being delisted, may materially and adversely affect the value of your investment. See “Risk Factors — 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666" w:gutter="0" w:footer="0" w:header="0"/>
        </w:sectPr>
      </w:pPr>
    </w:p>
    <w:bookmarkStart w:id="2" w:name="page3"/>
    <w:bookmarkEnd w:id="2"/>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We conduct all of our operations in Hong Kong through our Hong Kong Operating Subsidiary. Our Hong Kong Operating Subsidiary is our only operating subsidiary located in Hong Kong. Etoiles Financial, our other Hong Kong subsidiary, has no operation on its own, while Zynergy BVI is an intermediate holding company with no operations. However, cash may be transmitted from our Hong Kong Operating Subsidiary and Etoiles Financial to Zynergy BVI and between our Hong Kong Operating Subsidiary and Etoiles Financial to Zynergy BVI. For more details, refer to section captioned “Transfers of Cash To and From Our Subsidiaries.” As of the date of this prospectus, our subsidiaries have not experienced any difficulties or limitations on their ability to transfer cash between each other; they do not maintain cash management policies or procedures dictating the amount of such funding or how funds are transferred. There can be no assurance that the PRC government will not intervene or impose restrictions to prevent the cash maintained in Hong Kong from being transferred out or restrict the deployment of the cash into our business or for the payment of dividends. See “Risk Factors — We are a holding company and our ability to pay dividends is primarily dependent upon the earnings of, and distributions by, our Hong Kong subsidiaries” on page 20, “Dividend Policy”, “Summary Consolidated Financial Data”, and “Consolidated Statements of Changes in Shareholders’ Equity” in the Consolidated Financial Statements for further details.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Cash may be transferred through our organization in the following manner: (i) funds are transferred to Hong Kong Operating Subsidiary and Etoiles Financial to Zynergy BVI, from Etoiles Cayman through our BVI subsidiary in the form of capital contributions or shareholder loans, as the case may be; and (ii) dividends or other distributions may be paid by Hong Kong Operating Subsidiary and Etoiles Financial to Etoiles Cayman through our BVI subsidiary.</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During the years ended December 31, 2024 and 2023 and up to the date of this prospectus, no transfers, dividends or distributions have been made by Etoiles Cayman, Zynergy BVI, Etoiles Consultancy and Etoiles Financial. We intend to retain all available funds and future earnings, if any, for operation and business development, however, we may pay dividends on our Class A Ordinary Shares in the foreseeable future. As we are a holding company, our ability to make dividend payments, if any, would be contingent upon our receipt of funds from our Hong Kong Operating Subsidiary and Etoiles Financial through an intermediate holding company.</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Ordinary Shares involves a high degree of risk, including the risk of losing your entire investment. See “Risk Factors” beginning on page 15 of this prospectus to read about factors you should consider before buying our Class A Ordinary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Resale Prospectus is September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3"/>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4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2100" w:type="dxa"/>
            <w:vAlign w:val="bottom"/>
            <w:tcBorders>
              <w:bottom w:val="single" w:sz="8" w:color="0000EE"/>
            </w:tcBorders>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020" w:type="dxa"/>
            <w:vAlign w:val="bottom"/>
            <w:tcBorders>
              <w:bottom w:val="single" w:sz="8" w:color="CCEEFF"/>
            </w:tcBorders>
            <w:gridSpan w:val="14"/>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CONSOLIDATED FINANCIAL DATA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38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60" w:type="dxa"/>
            <w:vAlign w:val="bottom"/>
            <w:tcBorders>
              <w:top w:val="single" w:sz="8" w:color="CCEEFF"/>
            </w:tcBorders>
            <w:gridSpan w:val="6"/>
          </w:tcPr>
          <w:p>
            <w:pPr>
              <w:spacing w:after="0"/>
              <w:rPr>
                <w:sz w:val="18"/>
                <w:szCs w:val="18"/>
                <w:color w:val="auto"/>
              </w:rPr>
            </w:pP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34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4780" w:type="dxa"/>
            <w:vAlign w:val="bottom"/>
            <w:tcBorders>
              <w:top w:val="single" w:sz="8" w:color="CCEEFF"/>
            </w:tcBorders>
            <w:gridSpan w:val="3"/>
          </w:tcPr>
          <w:p>
            <w:pPr>
              <w:spacing w:after="0"/>
              <w:rPr>
                <w:sz w:val="18"/>
                <w:szCs w:val="18"/>
                <w:color w:val="auto"/>
              </w:rPr>
            </w:pP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42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CORPORATE HISTORY AND STRUCTURE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38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INDUSTRY OVERVIEW</w:t>
            </w:r>
          </w:p>
        </w:tc>
        <w:tc>
          <w:tcPr>
            <w:tcW w:w="6300" w:type="dxa"/>
            <w:vAlign w:val="bottom"/>
            <w:tcBorders>
              <w:top w:val="single" w:sz="8" w:color="CCEEFF"/>
            </w:tcBorders>
            <w:gridSpan w:val="7"/>
          </w:tcPr>
          <w:p>
            <w:pPr>
              <w:spacing w:after="0"/>
              <w:rPr>
                <w:sz w:val="18"/>
                <w:szCs w:val="18"/>
                <w:color w:val="auto"/>
              </w:rPr>
            </w:pP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86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BUSINESS</w:t>
            </w:r>
          </w:p>
        </w:tc>
        <w:tc>
          <w:tcPr>
            <w:tcW w:w="9260" w:type="dxa"/>
            <w:vAlign w:val="bottom"/>
            <w:tcBorders>
              <w:bottom w:val="single" w:sz="8" w:color="CCEEFF"/>
            </w:tcBorders>
            <w:gridSpan w:val="23"/>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REGULATIONS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PRINCIPAL SHAREHOLDERS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550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CERTAIN RELATIONSHIPS AND RELATED-PARTY TRANSACTIONS</w:t>
            </w:r>
          </w:p>
        </w:tc>
        <w:tc>
          <w:tcPr>
            <w:tcW w:w="462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SHAREHOLDERS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7"/>
        </w:trPr>
        <w:tc>
          <w:tcPr>
            <w:tcW w:w="2060" w:type="dxa"/>
            <w:vAlign w:val="bottom"/>
            <w:tcBorders>
              <w:bottom w:val="single" w:sz="8" w:color="0000EE"/>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PLAN OF DISTRIBUTION</w:t>
            </w:r>
          </w:p>
        </w:tc>
        <w:tc>
          <w:tcPr>
            <w:tcW w:w="8060" w:type="dxa"/>
            <w:vAlign w:val="bottom"/>
            <w:tcBorders>
              <w:bottom w:val="single" w:sz="8" w:color="CCEEFF"/>
            </w:tcBorders>
            <w:gridSpan w:val="15"/>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TAX CONSIDERATIONS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EXPENSES RELATED TO OFFERING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29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7180" w:type="dxa"/>
            <w:vAlign w:val="bottom"/>
            <w:tcBorders>
              <w:top w:val="single" w:sz="8" w:color="CCEEFF"/>
            </w:tcBorders>
            <w:gridSpan w:val="9"/>
          </w:tcPr>
          <w:p>
            <w:pPr>
              <w:spacing w:after="0"/>
              <w:rPr>
                <w:sz w:val="18"/>
                <w:szCs w:val="18"/>
                <w:color w:val="auto"/>
              </w:rPr>
            </w:pP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780" w:type="dxa"/>
            <w:vAlign w:val="bottom"/>
            <w:tcBorders>
              <w:bottom w:val="single" w:sz="8" w:color="0000EE"/>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EXPERTS</w:t>
            </w:r>
          </w:p>
        </w:tc>
        <w:tc>
          <w:tcPr>
            <w:tcW w:w="9340" w:type="dxa"/>
            <w:vAlign w:val="bottom"/>
            <w:tcBorders>
              <w:bottom w:val="single" w:sz="8" w:color="CCEEFF"/>
            </w:tcBorders>
            <w:gridSpan w:val="24"/>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10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Class A Ordinary Shares and the distribution of this prospectus outside the United States.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Selling Shareholders have authorized anyone to provide you with any information or to make any representations other than those contained in this prospectus, any amendment or supplement to this prospectus, or in any free writing prospectus we have prepared, and neither we nor the Selling Shareholders take responsibility for, and can provide no assurance as to the reliability of, any other information others may give you. Neither we nor the Selling Shareholders are making an offer to sell, or seeking offers to buy, these securities in any jurisdiction where the offer or sale is not permitted. The information contained in this prospectus is accurate only as of the date on the cover page of this prospectus, regardless of the time of delivery of this prospectus or the sale of Class A Ordinary Shares. Our business, financial condition, results of operations and prospects may have changed since the date on the cover page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We do not recommend that you purchase our Class A Ordinary Shares unless you have prior experience with investments in capital markets, possess basic knowledge of the integrated investor relation industry, and have received independent professional advice.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includes statistics, other data and descriptive information relating to markets, market sizes, and other industry data pertaining to our business that we have obtained from industry publications and surveys, government publications and other information available to us. Industry publications and surveys generally state that the information contained therein has been obtained from sources believed to be reliable. We have not independently verified any of the data from third party sources nor have we ascertained the underlying economic assumptions relied upon therein. Market data and statistics are inherently predictive and speculative and are not necessarily reflective of actual market conditions. Such statistics are based on market research, which itself is based on sampling and subjective judgments by both the researchers and the respondents, including judgments about what types of products and transactions should be included in the relevant market. In addition, the value of comparisons of statistics for different markets is limited by many factors, including that (i) the markets are defined differently, (ii) the underlying information was gathered by different methods, and</w:t>
      </w:r>
    </w:p>
    <w:p>
      <w:pPr>
        <w:spacing w:after="0" w:line="1" w:lineRule="exact"/>
        <w:rPr>
          <w:sz w:val="20"/>
          <w:szCs w:val="20"/>
          <w:color w:val="auto"/>
        </w:rPr>
      </w:pPr>
    </w:p>
    <w:p>
      <w:pPr>
        <w:ind w:firstLine="8"/>
        <w:spacing w:after="0" w:line="260" w:lineRule="auto"/>
        <w:tabs>
          <w:tab w:leader="none" w:pos="3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assumptions were applied in compiling the data. Accordingly, the market statistics included in this prospectus should be viewed with caution. We believe that information from these industry publications included in this prospectus is reliable.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Service Marks, and Trade Names</w:t>
      </w:r>
    </w:p>
    <w:p>
      <w:pPr>
        <w:spacing w:after="0" w:line="233" w:lineRule="exact"/>
        <w:rPr>
          <w:sz w:val="20"/>
          <w:szCs w:val="20"/>
          <w:color w:val="auto"/>
        </w:rPr>
      </w:pPr>
    </w:p>
    <w:p>
      <w:pPr>
        <w:jc w:val="both"/>
        <w:ind w:firstLine="324"/>
        <w:spacing w:after="0" w:line="234" w:lineRule="auto"/>
        <w:rPr>
          <w:sz w:val="20"/>
          <w:szCs w:val="20"/>
          <w:color w:val="auto"/>
        </w:rPr>
      </w:pPr>
      <w:r>
        <w:rPr>
          <w:rFonts w:ascii="Times New Roman" w:cs="Times New Roman" w:eastAsia="Times New Roman" w:hAnsi="Times New Roman"/>
          <w:sz w:val="18"/>
          <w:szCs w:val="18"/>
          <w:color w:val="auto"/>
        </w:rPr>
        <w:t xml:space="preserve">Solely for convenience, the trademarks, service marks, and trade names referred to in this prospectus are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We do not intend our use or display of other companies’ trademarks, service marks, or trade names to imply a relationship with, or endorsement or sponsorship of us by, any other companies.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Pertinent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to:</w:t>
      </w:r>
    </w:p>
    <w:p>
      <w:pPr>
        <w:spacing w:after="0" w:line="225"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Memorandum and Articles” refers to our second amended and restated memorandum of association and articles of association adopted by special resolution passed on May 20, 2025, and each is referred to as the Amended Memorandum and the Amended Articles;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“US$” or “U.S. dollars” refers to the legal currency of the United States;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refers to the People’s Republic of China, including the special administrative regions of Hong Kong, Macau and Taiwan. For reference to specific laws and regulations adopted by the PRC, the definition of “China” or the “PRC” refers to the People’s Republic of China, excluding Hong Kong, Macau and Taiwan;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the Class A ordinary shares, par value of US$0.0001 per share, of Etoiles Capital Group Co.,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the Class B ordinary shares, par value of US$0.0001 per share, of Etoiles Capital Group Co., Ltd;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refers to the Companies Act (as revised) of the Cayman Islands, as amended, supplemented or otherwise modified from time to time;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Shareholder” refer to the ultimate beneficial owner of the Company, Etoiles Zeneo Investment Limited, which is held by Mr. Kit Shing, CHEUNG. See “Management” and “Principal Shareholders” for more information;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“Cundi” refers to Cundi Solution Limited, an independent market research agency, which is an independent third party;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Consultancy” refers to Etoiles Consultancy Limited, our Hong Kong operating subsidiary;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Financial” refers to Etoiles Financial Group Limited, one of our Hong Kong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or “FY” refers to Financial year ended or, as the case may be, ending December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“HKD,” “HK$” or “HK Dollar” refers the legal currency of Hong Kong;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laws” refers to all applicable laws, statutes, rules, regulations, ordinances and other pronouncements having the binding effect of law in Hong Kong;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refers to the Hong Kong Special Administrative Region of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Operating Subsidiary” refers to Etoiles Consultancy;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“mainland China” refers to the People’s Republic of China (excluding Hong Kong, Macau and Taiwan);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refers to the initial public offering of Etoiles Capital Group Co., Ltd;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Counsel” refers to the China Commercial Law Firm;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 or “PRC authorities”, or variations of such words or similar expressions, refer to the central, provincial, and local governments of all levels in mainland China, including regulatory and administrative authorities, agencies and commissions, or any court, tribunal or any other judicial or arbitral body in mainland China;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laws” or “PRC regulations,” or variations of such words or similar expressions, refers to all applicable laws, statutes, rules, regulations, ordinances and other pronouncements having the binding effect of law in mainland China;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“Shares”, or “Ordinary Shares” refer to the Class A Ordinary Shares and Class B Ordinary Shares of Etoiles Capital Group Co., Ltd;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“Etoiles Cayman,” the “Company,” “we” or “us” refers to Etoiles Capital Group Co., Ltd, a Cayman Islands company and its wholly-owned and indirect wholly-owned subsidiaries, unless the context otherwise indicates;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“Zynergy BVI” refers to Zynergy Holding Co., Limited, our British Virgin Islands subsidiary and the direct holding company of Etoiles Consultancy and Etoiles Financial.</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Etoiles Cayman is an exempted company with limited liability incorporated under the laws of the Cayman Islands as a holding company with operations conducted in Hong Kong through its Hong Kong Operating Subsidiary, Etoiles Consultancy. Our Hong Kong Operating Subsidiary’s reporting currency is HK$. This prospectus contains translations of certain foreign currency amounts into U.S. dollars for the convenience of the reader. Translation of amounts from HKD into USD has been made at the following exchange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Year-end $: HK$ exchange rate</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7.7677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Year average $: HK$ exchange rate</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7.8030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7.8292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representation is made that the HK$ amounts could have been, or could be, converted, realized or settled into US$ at such rate, or at any other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887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PROSPECTUS SUMMARY</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Because it is only a summary, it does not contain all of the information you should consider before making your investment decision. Before investing in our Class A Ordinary Shares, you should carefully read this entire prospectus, including our financial statements and the related notes thereto and the information set forth under “Risk Factors,” “Selected Consolidated Financial Data,” “Management’s Discussion and Analysis of Financial Condition and Results of Operations,” and “Business.” Unless the context otherwise requires, all references to “Etoiles Cayman”, “we”, “us”, “our”, the “Company” and similar designations refer to Etoiles Capital Group Co., Ltd, a Cayman Islands company, and its wholly-owned and indirect wholly-owned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on September 13, 2024, as a holding company. We conduct our operation through our indirect wholly-owned Hong Kong Operating Subsidiary, Etoiles Consultancy. Etoiles Financial, our other Hong Kong subsidiary, has no material operations of its own and is mainly used to handle administrative expenses. We operate in a single segment that represents the Company’s core business as an integrated investor relation service provider in Hong Kong.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integrated investor relation services mainly comprise one of more of the following components:</w:t>
      </w:r>
    </w:p>
    <w:p>
      <w:pPr>
        <w:spacing w:after="0" w:line="225" w:lineRule="exact"/>
        <w:rPr>
          <w:sz w:val="20"/>
          <w:szCs w:val="20"/>
          <w:color w:val="auto"/>
        </w:rPr>
      </w:pPr>
    </w:p>
    <w:p>
      <w:pPr>
        <w:jc w:val="both"/>
        <w:ind w:left="640" w:right="2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public relation: in assisting our clients to promote their corporate image, our Hong Kong Operating Subsidiary will assist in preparing promotional plan, preparing corporate presentation materials, designing investor relation websites, preparing advertising plans and publicity materials, providing support in roadshows and press conferences, coordinating ceremonies and interviews and assisting in crisis management;</w:t>
      </w:r>
    </w:p>
    <w:p>
      <w:pPr>
        <w:spacing w:after="0" w:line="179"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investor relation: in assisting our clients to manage relation with their investors, our Hong Kong Operating Subsidiary will assist in drafting investor relation media documents and coordinating shareholders meetings and press conferences and assist in identifying and approaching shareholders;</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due diligence exercise: our Hong Kong Operating Subsidiary assists our clients in conducting due diligence on specific investment or acquisition targets worldwide, including reviewing statutory records, conducting site visits and preparing due diligence report; and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value-added services such as website design enhancement and promotional video production.</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through our Hong Kong Operating Subsidiary, have achieved significant growth in our business. For each of the fiscal years ended December 31, 2024 and 2023, our total revenue was approximately US$2.5 million and US$0.1 million, respectively. The number of clients with revenue contribution to us was 1 for the fiscal year ended December 31, 2023 and 22 for the fiscal year ended December 31, 2024.</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Cundi, 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7496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7496175"/>
                    </a:xfrm>
                    <a:prstGeom prst="rect">
                      <a:avLst/>
                    </a:prstGeom>
                    <a:noFill/>
                  </pic:spPr>
                </pic:pic>
              </a:graphicData>
            </a:graphic>
          </wp:anchor>
        </w:drawing>
        <w:t>Competitive Strengths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following strengths have contributed to our success and differentiate us from our peers:</w:t>
      </w:r>
    </w:p>
    <w:p>
      <w:pPr>
        <w:spacing w:after="0" w:line="225" w:lineRule="exact"/>
        <w:rPr>
          <w:sz w:val="20"/>
          <w:szCs w:val="20"/>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comprehensive integrated investor relation services to our clients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possess a strong client base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experienced and professional management team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growth strategies include further strengthening our market position and increasing our market share in the Hong Kong integrated investor relation industry. We intend on achieving this growth by actively seeking new opportunities from our existing client base as well as new potential clients. To achieve these goals, we plan on implementing the following strategies:</w:t>
      </w:r>
    </w:p>
    <w:p>
      <w:pPr>
        <w:spacing w:after="0" w:line="176" w:lineRule="exact"/>
        <w:rPr>
          <w:sz w:val="20"/>
          <w:szCs w:val="20"/>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strengthen our integrated investor relation services in Hong Kong</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market presence in other international capital markets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brand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not a Hong Kong or a mainland China operating company, but an offshore holding company incorporated in the Cayman Islands. As a holding company with no material operations of our own, we conduct our operations through our operating company in Hong Kong, Etoiles Consultancy. This is an offering of the Class A Ordinary Shares of Etoiles Capital Group Co., Ltd, the holding company in the Cayman Islands, instead of the shares of Etoiles Consultancy and Etoiles Financial.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we are incorporated under the laws of the Cayman Islands, you may encounter difficulty protecting your interests as a shareholder, and your ability to protect your rights through the U.S. federal court system may be limited. Please refer to the sections entitled “Risk Factors” and “Enforceability of Civil Liabilities” for more information.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chart below illustrates our corporate structure and identifies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details, see “Our Corporate History and Structure”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847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Transfers of Cash To and From Our Subsidiaries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conduct all of our operations in Hong Kong through our Hong Kong Operating Subsidiary. Our Hong Kong Operating Subsidiary is our only operating subsidiary located in Hong Kong. Etoiles Financial, our other Hong Kong subsidiary, has no operation on its own, while Zynergy BVI is an intermediate holding company with no operations. During the years ended December 31, 2024 and 2023 and up to the date of this prospectus, no transfers, dividends or distributions have been made by Etoiles Cayman, Zynergy BVI, Etoiles Consultancy and Etoiles Financial. Cash may be transferred through our organization in the following manner: (i) funds are transferred to our Hong Kong Operating Subsidiary and Etoiles Financial, from Etoiles Cayman through our BVI subsidiary in the form of capital contributions or shareholder loans, as the case may be; and (ii) dividends or other distributions may be paid by our Hong Kong Operating Subsidiary or Etoiles Financial to Etoiles Cayman through our BVI subsidiary. We intend to retain all available funds and future earnings, if any, for operation and business development, however, we may pay dividends on our Class A Ordinary Shares and Class B Ordinary Shares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Further, cash may be transmitted from our Hong Kong Operating Subsidiary and Etoiles Financial to Zynergy BVI and between our Hong Kong Operating Subsidiary and Etoiles Financial. For more details, see section captioned “Related Party Transactions” in this prospectus.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prohibited under the laws of the Cayman Islands to provide funding to our Hong Kong Operating Subsidiary and Etoiles Financial through loans and/or capital contributions without restriction on the amount of the funds loaned or contributed.</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Cayman Islands. </w:t>
      </w:r>
      <w:r>
        <w:rPr>
          <w:rFonts w:ascii="Times New Roman" w:cs="Times New Roman" w:eastAsia="Times New Roman" w:hAnsi="Times New Roman"/>
          <w:sz w:val="18"/>
          <w:szCs w:val="18"/>
          <w:color w:val="auto"/>
        </w:rPr>
        <w:t>Subject to Cayman law, the Companies Act and our Amended Memorandum and Articles, our board of directors may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declare dividends in any currency to be paid to our members. Subject to a solvency test, as prescribed in the Companies Act, and the provisions, if any, of the memorandum and articles of association of an exempted company incorporated in the Cayman Islands, an exempted company incorporated in the Cayman Islands may pay dividends and distributions out of its share premium account. In addition, based upon English case law that is likely to be persuasive in the Cayman Islands, dividends may be paid out of profits.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Hong Kong. </w:t>
      </w:r>
      <w:r>
        <w:rPr>
          <w:rFonts w:ascii="Times New Roman" w:cs="Times New Roman" w:eastAsia="Times New Roman" w:hAnsi="Times New Roman"/>
          <w:sz w:val="18"/>
          <w:szCs w:val="18"/>
          <w:color w:val="auto"/>
        </w:rPr>
        <w:t>Under Hong Kong law, dividends may only be paid out of distributable profits (that is, accumulated realized profits less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losses) or other distributable reserves. Dividends cannot be paid out of share capital. There are no restrictions or limitations under the laws of Hong Kong imposed on the conversion of HK dollars into foreign currencies and the remittance of currencies out of Hong Kong, nor is there any restriction on foreign exchange to transfer cash between the Company and its subsidiaries, across borders and to U.S. investors, nor are there any restrictions or limitations on distributing earnings from our business and subsidiaries to the Company and U.S. investors. Under the current practice of the Inland Revenue Department of Hong Kong, no tax is payable in Hong Kong in respect of dividends paid by us.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we are a holding company, our ability to make dividend payments, if any, would be contingent upon our receipt of funds from our Hong Kong Operating Subsidiary and Etoiles Financial through our intermediate holding company. As of the date of this prospectus, our subsidiaries have not experienced any difficulties or limitations on their ability to transfer cash between each other; they do not maintain cash management policies or procedures dictating the amount of such funding or how funds are transferred.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more information, see “Dividend Policy,” “Risk Factors” and “Summary Financial Data” and “Consolidated Statements of Changes in Shareholders’ Equity” in the audited financial statements for the years ended December 31, 2024 and 2023 contained in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Permission Required from Hong Kong Authorities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Hong Kong is a special administration region of China, having its own governmental and legal system that is independent from mainland China, and as a result, has its own distinct rules and regulation. Etoiles Consultancy is our Hong Kong Operating Subsidiary in Hong Kong, while Etoiles Financial has no operation on its own. According to the legal opinion issued by our Hong Kong counsel, David Fong &amp; Co., Solicitors, we, including Etoiles Consultancy and Etoiles Financial, have received all requisite permissions or approvals from the Hong Kong authorities to operate our business, including but not limited to obtaining a relevant certificate of incorporation and business license, and that we, including Etoiles Consultancy and Etoiles Financial are not required to obtain any permission or approval from Hong Kong authorities to offer the shares of Etoiles Cayman to foreign investors. Further, uncertainties still exist due to the possibility that laws, regulations, or policies in Hong Kong could change rapidly in the future. Should there be any change in applicable laws, regulations, or interpretations, and we or any of our subsidiaries are required to obtain such permissions or approvals in the future, we will strive to comply with the then applicable laws, regulations, or interpretations. In the event that we, including Etoiles Consultancy and Etoiles Financial, (i) do not receive or fail to maintain such permissions or approvals in the future, (ii) inadvertently conclude that relevant permissions or approvals were not required, or (iii) are required to obtain such permissions or approvals in the future following applicable laws, regulations, or interpretation changes, any action taken by the Hong Kong government could significantly limit or completely hinder our operations and our ability to offer or continue to offer securities to investors and could cause the value of our securities to significantly decline or be worthless.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790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Permission Required from Mainland China Authorities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conduct all of our operations in Hong Kong through our Hong Kong Operating Subsidiary. However, there are legal and operational risks associated with being based in and having the majority of our operations in Hong Kong. The PRC government has recently indicated that it may exert more control or influence over offerings of securities conducted overseas. The management understands that as of the date of this prospectus, we are not subject to cybersecurity review with the Cyberspace Administration of China (“CAC”) to conduct business operations in China, given that: (i) we do not operate any network platform or provide any network service for individual users, (ii) all the customers and suppliers of our Hong Kong Operating Subsidiary are enterprises, (iii) we do not possess a large amount of personal information in our business operations, (iv) we are not recognized as “operators of critical information infrastructure” by any authentic authority, (v) we have not been involved in any investigations initiated by the CAC, nor have we received any inquiry, notice, warning, or sanction in such respect. Nevertheless, the Measures for Cybersecurity Review (2021 version) was recently adopted and the Network Internet Data Protection Draft Regulations is in the process of being formulated and the interpretation and application of these regulations remain unclear. We have been closely monitoring regulatory developments in China regarding any necessary approvals from the CSRC, the CAC, or other PRC governmental authorities required for the conduct of our business operations and overseas listings, including this Offering.</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The Trial Measures, together with the Guidance Rules and Notice, reiterate the basic supervision principles by providing substantially requirements for filings of overseas offering and listing by domestic companies. Under the Trial Measures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its submission of initial public offerings or listing application. Based on the understanding of the relevant PRC laws and regulations of our PRC Counsel, China Commercial Law Firm, as of the date of this prospectus, our offering will not be identified as an indirect overseas issuance. The Trial Measures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light of the foregoing and based on the opinion of our PRC Counsel, we believe that the listing of our Class A Ordinary Shares on The Nasdaq Capital Market (“Nasdaq”) does not constitute an “indirect overseas offering and listing by PRC domestic companies” and that we are not required to complete the filing procedures as stipulated by the Trial Measures because the Company did not obtain any operating revenue, total profit, total assets and net assets in mainland China for the years ended December 31, 2024 and 2023,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10" w:name="page11"/>
    <w:bookmarkEnd w:id="10"/>
    <w:p>
      <w:pPr>
        <w:jc w:val="both"/>
        <w:ind w:left="8"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7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Based on our management’s internal assessment and on the opinion of our PRC counsel, the Company and its subsidiaries currently have no operations in the mainland China, our management understands that as of the date of this prospectus, the Company is not required to obtain any permissions or approvals from PRC authorities before listing in the U.S. and to issue our Ordinary Shares to foreign investors, including the CAC or the CSRC because (i) the CSRC currently has not issued any definitive rule or interpretation concerning whether offerings like ours under this prospectus are subject to this regulation; and (ii) we operate in Hong Kong and is not included in the categories of industries and companies whose foreign securities offerings are subject to review by the CSRC or the CAC. We also understand that Etoiles Financial and Etoiles Consultancy are not required to obtain any permissions or approvals from any Chinese authorities to operate their businesses as of the date of this prospectus. No permissions or approvals have been applied for by the Company or denied by any relevant authorities. However, uncertainties still exist, due to the possibility that laws, regulations, or policies in the PRC could change rapidly in the future.</w:t>
      </w:r>
    </w:p>
    <w:p>
      <w:pPr>
        <w:spacing w:after="0" w:line="188"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If we or our Hong Kong Operating Subsidiary or Etoiles Financial (i) inadvertently conclude that such relevant permissions or approvals are not required, or (ii) applicable laws, regulations, or interpretations change, including the expansion of the categories of industries and companies whose foreign securities offerings are subject to review and require us to obtain such permissions or approvals in the future by the CSRC or the CAC, we may face sanctions by the CSRC, the CAC or other PRC regulatory agencies. These regulatory agencies may impose fines and penalties on our operations in China, limit our ability to pay dividends outside of China, limit our operations in China, delay or restrict the repatriation of the proceeds from this Offering into China or take other actions that could have a material adverse effect on our business as well as the trading price of our Class A Ordinary Shares. We could be required to restructure our operations to comply with such regulations or potentially cease operations in the PRC entirely. The CSRC, the CAC or other PRC regulatory agencies also may take actions requiring us, or making it advisable for us, to halt this Offering before settlement and delivery of our Class A Ordinary Shares. In addition, if the CSRC, the CAC or other regulatory PRC agencies later promulgate new rules requiring that we obtain their approvals for this Offering, we may be unable to obtain a waiver of such approval requirements, if and when procedures are established to obtain such a waiver. Any action taken by the PRC government could significantly limit or completely hinder our operations in the PRC and our ability to offer or continue to offer securities to investors and could cause the value of such securities to significantly decline or be worthless.</w:t>
      </w:r>
    </w:p>
    <w:p>
      <w:pPr>
        <w:spacing w:after="0" w:line="187" w:lineRule="exact"/>
        <w:rPr>
          <w:sz w:val="20"/>
          <w:szCs w:val="20"/>
          <w:color w:val="auto"/>
        </w:rPr>
      </w:pPr>
    </w:p>
    <w:p>
      <w:pPr>
        <w:jc w:val="both"/>
        <w:ind w:left="8" w:firstLine="324"/>
        <w:spacing w:after="0" w:line="253" w:lineRule="auto"/>
        <w:rPr>
          <w:sz w:val="20"/>
          <w:szCs w:val="20"/>
          <w:color w:val="auto"/>
        </w:rPr>
      </w:pPr>
      <w:r>
        <w:rPr>
          <w:rFonts w:ascii="Times New Roman" w:cs="Times New Roman" w:eastAsia="Times New Roman" w:hAnsi="Times New Roman"/>
          <w:sz w:val="18"/>
          <w:szCs w:val="18"/>
          <w:color w:val="auto"/>
        </w:rPr>
        <w:t>Further, the Regulations on Mergers and Acquisitions of Domestic Companies by Foreign Investors, or the M&amp;A Rules, adopted by six PRC regulatory agencies in 2006 and amended in 2009, requires an overseas special purpose vehicle formed for offering purposes through acquisitions of PRC domestic companies and controlled by PRC persons or entities with shares of the offshore special purchase vehicles to obtain the approval of the CSRC prior to the offering and trading of such special purpose vehicle’s securities on an overseas stock exchange. Based on the opinion of our PRC Counsel, the Management understands that we will not be required to submit an application to the CSRC for the approval of the offering and trading of our Class A Ordinary Shares because (i) our Hong Kong Operating Subsidiary and Etoiles Financial were not established through a merger or requisition of the equity or assets of a “PRC domestic company” as such term is defined under the M&amp;A Rules, (ii) our Hong Kong Operating Subsidiary and Etoiles Financial are non-mainland China entities, and they have not been controlled by a non-PRC persons since its incorporation, and</w:t>
      </w:r>
    </w:p>
    <w:p>
      <w:pPr>
        <w:spacing w:after="0" w:line="1" w:lineRule="exact"/>
        <w:rPr>
          <w:sz w:val="20"/>
          <w:szCs w:val="20"/>
          <w:color w:val="auto"/>
        </w:rPr>
      </w:pPr>
    </w:p>
    <w:p>
      <w:pPr>
        <w:jc w:val="both"/>
        <w:ind w:left="8" w:hanging="8"/>
        <w:spacing w:after="0" w:line="253" w:lineRule="auto"/>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currently has not issued any definitive rule or interpretation concerning whether an offering like ours under this document is subject to this regulation. However, uncertainties still exist as to how the M&amp;A Rules will be interpreted or implemented, and is subject to any new laws, rules, and regulations or detailed implementations and interpretations in any form relating to the M&amp;A Rules. If CSRC approval is required, it is uncertain whether we can or how long it will take us to obtain the approval and, even if we obtain such CSRC approval, such CSRC approval could be rescinded. We cannot assure you that relevant PRC government authorities, including the CSRC, would reach the same conclusion as 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931" w:right="4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127875" cy="8002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8002270"/>
                    </a:xfrm>
                    <a:prstGeom prst="rect">
                      <a:avLst/>
                    </a:prstGeom>
                    <a:noFill/>
                  </pic:spPr>
                </pic:pic>
              </a:graphicData>
            </a:graphic>
          </wp:anchor>
        </w:drawing>
        <w:t>Summary of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Investing in our Class A Ordinary Shares involves risks. You should carefully consider the risks described in “Risk Factors” before making a decision to invest in our Class A Ordinary Shares. If any of these risks actually occur, our business, financial condition, or results of operations could be materially and adversely affected. In such case, the trading price of our Class A Ordinary Shares would likely decline, their liquidity could drop significantly and you may lose all or part of your investment. The following is a summary of some of the principal risks we face: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materially and adversely affect our business, financial condition, results of operations, cash flows and prospects. These risks include, but are not limited to, the following:</w:t>
      </w:r>
    </w:p>
    <w:p>
      <w:pPr>
        <w:spacing w:after="0" w:line="176" w:lineRule="exact"/>
        <w:rPr>
          <w:sz w:val="20"/>
          <w:szCs w:val="20"/>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performance is highly influenced by the conditions of the capital markets in Hong Kong.</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from our integrated investor relation business is non-recurring in nature and our profitability is highly unpredictable.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years ended December 31, 2024 and 2023, our five largest customers accounted for a significant portion of our total revenue.</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do not enter into exclusive service agreements with our existing clients, it is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clients may deteriorate and their fee settlement to us may be slow, which may adversely affect our cash flows, working capital, financial condition and results of operations.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be adversely affected if third parties to whom we outsource a small portion of our integrated investor relation services fail to perform satisfactorily and/or there occur negative events concerning our business.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management and professional staff, the loss of whom may affect our operations.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changes in the laws and regulations governing the companies listed on the stock exchanges in Hong Kong and the U.S.</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associated with pressure on the level of our service fees.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arbitration or other legal proceeding risk.</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keep clients’ information confidential or if we handle information improperly or make misstatements of such information, our business and reputation could be materially and adversely affected.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implement our future business plans.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natural disasters, health epidemics and other outbreaks, which could significantly disrupt our operations.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wars in Ukraine and in the Middle East could materially and adversely affect our business and results of operations.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 may be materially and adversely affected by a downturn in Hong Kong, mainland China or the global economy.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data and information in this prospectus were obtained from third-party sources and were not independently verified by us.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effective internal controls over financial reporting may affect our ability to accurately report our financial results or prevent fraud.</w:t>
      </w:r>
    </w:p>
    <w:p>
      <w:pPr>
        <w:spacing w:after="0" w:line="252"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lacks experience in managing a U.S. public company and complying with laws applicable to such company, the failure of which may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holding company and our ability to pay dividends is primarily dependent upon the earnings of, and distributions by, our Hong Kong subsidiaries.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43"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7127875" cy="9613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9613900"/>
                    </a:xfrm>
                    <a:prstGeom prst="rect">
                      <a:avLst/>
                    </a:prstGeom>
                    <a:noFill/>
                  </pic:spPr>
                </pic:pic>
              </a:graphicData>
            </a:graphic>
          </wp:anchor>
        </w:drawing>
        <w:t>Risks Related to and Doing Business in Hong Kong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substantial part of our business is conducted in Hong Kong, where we may face significant regulatory, liquidity, and enforcement risks and uncertainties relating to mainland China in general. See “Risk Factors — Risks Related to Doing Business in Hong Kong” beginning on page 21 for a more detailed discussion of the risks involved. The material Mainland China risks include but are not limited to, the following:</w:t>
      </w:r>
    </w:p>
    <w:p>
      <w:pPr>
        <w:spacing w:after="0" w:line="108" w:lineRule="exact"/>
        <w:rPr>
          <w:sz w:val="20"/>
          <w:szCs w:val="20"/>
          <w:color w:val="auto"/>
        </w:rPr>
      </w:pPr>
    </w:p>
    <w:p>
      <w:pPr>
        <w:jc w:val="both"/>
        <w:ind w:left="640" w:right="20" w:hanging="324"/>
        <w:spacing w:after="0" w:line="25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process, enforcing foreign judgments or bringing actions in Hong Kong against us or our management named in this prospectus based on foreign laws. Etoiles Cayman is incorporated under the laws of the Cayman Islands, but all of our operations and assets are held by our Hong Kong Operating Subsidiary and Etoiles Financial. In addition, a majority of our senior executive officers and directors, including Mr. Kit Shing, CHEUNG, Mr. Hon Fai, TAM, Mr. Zhihan, LOU, Ms. Qi, DING and Mr. Yeung Tak, CHEN, reside within Hong Kong for a significant portion of the time, while Mr. Raj K, THAKAR resides outside Hong Kong in the U.S.. As a result, it may be difficult or impossible for investors to effect service of process on us inside Hong Kong. See “Risk Factors — Risks Related to Doing Business in Hong Kong — You may experience difficulties in effecting service of process, enforcing foreign judgments or bringing actions in Hong Kong against us or our management named in this prospectus based on foreign laws” on page 21.</w:t>
      </w:r>
    </w:p>
    <w:p>
      <w:pPr>
        <w:spacing w:after="0" w:line="124" w:lineRule="exact"/>
        <w:rPr>
          <w:rFonts w:ascii="Times New Roman" w:cs="Times New Roman" w:eastAsia="Times New Roman" w:hAnsi="Times New Roman"/>
          <w:sz w:val="18"/>
          <w:szCs w:val="18"/>
          <w:color w:val="auto"/>
        </w:rPr>
      </w:pPr>
    </w:p>
    <w:p>
      <w:pPr>
        <w:jc w:val="both"/>
        <w:ind w:left="640" w:right="20" w:hanging="324"/>
        <w:spacing w:after="0" w:line="25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 See “Risk Factors — Risks Related to Doing Business in Hong Kong — Recent joint statement by the SEC and PCAOB, Nasdaq’s proposed rule changes and the HFCA Act all call for additional and more stringent criteria to be applied to emerging market companies upon assessing the qualification of their auditors, especially the non-U.S. auditors who are not inspected by the PCAOB” on page 21.</w:t>
      </w:r>
    </w:p>
    <w:p>
      <w:pPr>
        <w:spacing w:after="0" w:line="119" w:lineRule="exact"/>
        <w:rPr>
          <w:rFonts w:ascii="Times New Roman" w:cs="Times New Roman" w:eastAsia="Times New Roman" w:hAnsi="Times New Roman"/>
          <w:sz w:val="18"/>
          <w:szCs w:val="18"/>
          <w:color w:val="auto"/>
        </w:rPr>
      </w:pPr>
    </w:p>
    <w:p>
      <w:pPr>
        <w:jc w:val="both"/>
        <w:ind w:left="640" w:right="20" w:hanging="324"/>
        <w:spacing w:after="0" w:line="258"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Hong Kong legal system embodies uncertainties which could limit the availability of legal protections. Hong Kong is a Special Administrative Region of the PRC and enjoys a high degree of autonomy under the “one country, two systems” principle. Any changes to the political and economic environment in Hong Kong may materially and adversely affect our business and operation. See “Risk Factors — Risks Related to Doing Business in Hong Kong — The Hong Kong legal system embodies uncertainties which could limit the availability of legal protections” on page 21.</w:t>
      </w:r>
    </w:p>
    <w:p>
      <w:pPr>
        <w:spacing w:after="0" w:line="115" w:lineRule="exact"/>
        <w:rPr>
          <w:rFonts w:ascii="Times New Roman" w:cs="Times New Roman" w:eastAsia="Times New Roman" w:hAnsi="Times New Roman"/>
          <w:sz w:val="18"/>
          <w:szCs w:val="18"/>
          <w:color w:val="auto"/>
        </w:rPr>
      </w:pPr>
    </w:p>
    <w:p>
      <w:pPr>
        <w:jc w:val="both"/>
        <w:ind w:left="640" w:right="20" w:hanging="324"/>
        <w:spacing w:after="0" w:line="25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 There are substantial uncertainties regarding the interpretation and application of PRC laws and regulations. These laws and regulations are sometimes vague and may be subject to future changes, and their official interpretation and enforcement could be unpredictable, with little advance notice, which could result in a material change in our operations and/or the value of our Class A Ordinary Shares. It is also uncertain whether having a majority of our directors and officers located in Hong Kong will subject us to the oversight of the Chinese authorities in the future. See “Risk Factors — Risks Related to Doing Business in Hong Kong — 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 on page 23.</w:t>
      </w:r>
    </w:p>
    <w:p>
      <w:pPr>
        <w:spacing w:after="0" w:line="126" w:lineRule="exact"/>
        <w:rPr>
          <w:rFonts w:ascii="Times New Roman" w:cs="Times New Roman" w:eastAsia="Times New Roman" w:hAnsi="Times New Roman"/>
          <w:sz w:val="18"/>
          <w:szCs w:val="18"/>
          <w:color w:val="auto"/>
        </w:rPr>
      </w:pPr>
    </w:p>
    <w:p>
      <w:pPr>
        <w:jc w:val="both"/>
        <w:ind w:left="640" w:right="20" w:hanging="324"/>
        <w:spacing w:after="0" w:line="255"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may intervene or influence our operations at any time or may exert more control over offerings conducted overseas and foreign investment in China-based issuers, which could result in a material change in our operations and/or the value of the securities we are registering for sale. The PRC government may choose to exercise significant oversight and discretion, and the regulations to which we are subject may change rapidly and with little notice to our shareholders or us. As a result, the application, interpretation, and enforcement of new and existing laws and regulations in China are often uncertain. See “Risk Factors — Risks Related to Doing Business in Hong Kong — The PRC government may intervene or influence our operations at any time, which could result in a material change in our operations and/or the value of the securities we are registering for sale” on page 23.</w:t>
      </w:r>
    </w:p>
    <w:p>
      <w:pPr>
        <w:spacing w:after="0" w:line="121" w:lineRule="exact"/>
        <w:rPr>
          <w:rFonts w:ascii="Times New Roman" w:cs="Times New Roman" w:eastAsia="Times New Roman" w:hAnsi="Times New Roman"/>
          <w:sz w:val="18"/>
          <w:szCs w:val="18"/>
          <w:color w:val="auto"/>
        </w:rPr>
      </w:pPr>
    </w:p>
    <w:p>
      <w:pPr>
        <w:jc w:val="both"/>
        <w:ind w:left="640" w:right="20" w:hanging="324"/>
        <w:spacing w:after="0" w:line="25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by the PRC government to exert more oversight and control over offerings that are conducted overseas and/or involves or constitutes a foreign investment in China-based issuers, such actions could significantly limit or completely hinder our ability to offer or continue to offer securities to investors and cause the value of such securities to significantly decline or become worthless. As of the date of this prospectus, based on the opinion of our PRC Counsel, our registered public offering in the U.S. is not subject to the review nor prior approval of the CAC or the CSRC. Nevertheless, the promulgation of new laws or regulations, or the new interpretation of existing laws and regulations may restrict or otherwise unfavorably impact our ability or way to conduct business and may require us to change certain aspects of our business to ensure compliance. See “Risk Factors — Risks Related to Doing Business in Hong Kong — Any actions by the PRC government to exert more oversight and control over offerings that are conducted overseas and/or foreign investment in China-based issuers, such actions could significantly limit or completely hinder our ability to offer or continue to offer securities to investors and cause the value of such securities to significantly decline or become worthless” on page 24.</w:t>
      </w:r>
    </w:p>
    <w:p>
      <w:pPr>
        <w:spacing w:after="0" w:line="126" w:lineRule="exact"/>
        <w:rPr>
          <w:rFonts w:ascii="Times New Roman" w:cs="Times New Roman" w:eastAsia="Times New Roman" w:hAnsi="Times New Roman"/>
          <w:sz w:val="18"/>
          <w:szCs w:val="18"/>
          <w:color w:val="auto"/>
        </w:rPr>
      </w:pPr>
    </w:p>
    <w:p>
      <w:pPr>
        <w:jc w:val="both"/>
        <w:ind w:left="640" w:right="20" w:hanging="324"/>
        <w:spacing w:after="0" w:line="253"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light of recent events indicating greater oversight by the Cyberspace Administration of China over data security, particularly for companies seeking to list on a foreign exchange, we may be subject to a variety of PRC laws and other obligations regarding data protection and any other rules, and any failure to comply with applicable laws and obligations could have a material and adverse effect on our business and the Offering. We may become subject to PRC laws relating to the collection, use, sharing, retention, security, and transfer of confidential and private information, such as personal information and other data. In the event of a failure to comply, we may be required to suspend our relevant businesses and become subject to fines and other penalties, which may materially and adversely affect our financial condition. In addition, given the recent events indicating greater oversight by the CAC over data security, particularly for companies seeking to list on a foreign exchange, it remains uncertain as to how the New Measures will be interpreted or implemented. PRC regulatory agencies, including the CAC, may adopt new laws, regulations, rules, or detailed implementation and interpretation related to the New Measures. See “Risk Factors — Risks Related to Doing Business in Hong Kong — In light of recent events indicating greater oversight by the Cyberspace Administration of China over data security, particularly for companies seeking to list on a foreign exchange, we may be subject to a variety of PRC laws and other obligations regarding data protection and any other rules, and any failure to comply with applicable laws and obligations could have a material and adverse effect on our business and the Offering” on page 25.</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752" w:right="459" w:bottom="231" w:gutter="0" w:footer="0" w:header="0"/>
        </w:sectPr>
      </w:pPr>
    </w:p>
    <w:bookmarkStart w:id="13" w:name="page14"/>
    <w:bookmarkEnd w:id="13"/>
    <w:p>
      <w:pPr>
        <w:jc w:val="both"/>
        <w:ind w:left="640" w:right="20" w:hanging="324"/>
        <w:spacing w:after="0" w:line="266"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7127875" cy="92367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9236710"/>
                    </a:xfrm>
                    <a:prstGeom prst="rect">
                      <a:avLst/>
                    </a:prstGeom>
                    <a:noFill/>
                  </pic:spPr>
                </pic:pic>
              </a:graphicData>
            </a:graphic>
          </wp:anchor>
        </w:drawing>
        <w:t>We may be required to obtain approval from PRC authorities to list on overseas stock exchanges in the future. See “Risk Factors — Risks Related to Doing Business in Hong Kong — We may be required to obtain approval from PRC authorities to list on overseas stock exchanges in the future” on page 26.</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general risks and uncertainties relating to our Class A Ordinary Shares and this Offering, including but not limited to the following:</w:t>
      </w:r>
    </w:p>
    <w:p>
      <w:pPr>
        <w:spacing w:after="0" w:line="162" w:lineRule="exact"/>
        <w:rPr>
          <w:sz w:val="20"/>
          <w:szCs w:val="20"/>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A Ordinary Shares may not develop and could affect the trading price of our Class A Ordinary Shares.</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applicable listing requirements, Nasdaq may delist our Class A Ordinary Shares from trading, in which case the liquidity and market price of our Class A Ordinary Shares could decline.</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“foreign private issuer” under the rules promulgated by the Securities and Exchange Commission under the U.S. federal securities laws (the “SEC rules”), will exempt us from the U.S. proxy rules and the more detailed and frequent Securities Exchange Act of 1934 (the “Exchange Act”) reporting obligations applicable to a U.S. domestic public company.</w:t>
      </w:r>
    </w:p>
    <w:p>
      <w:pPr>
        <w:spacing w:after="0" w:line="202"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foreign private issuer under the Nasdaq Stock Market Rules (the “Nasdaq rules”), will allow us to adopt certain home country practices in relation to corporate governance matters which may differ significantly from Nasdaq corporate governance listing standards applicable to a U.S. domestic Nasdaq listed company.</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under the JOBS Act may make it more difficult to raise capital as and when we need it.</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may render our Class A Ordinary Shares ineligible for inclusion in certain stock market indices, and thus adversely affect the trading price and liquidity of our Class A Ordinary Shares.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Regulatory Development in China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aware that, recently, the PRC government initiated a series of regulatory actions and statements to regulate business operations in certain areas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Cybersecurity Laws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adopted and published the Measures for Cybersecurity Review (2021 version) (“New Measures”), which came into effect on February 15, 2022. According to the New Measures, if an “operator of critical information infrastructure” or “network platform operator” that is in possession of personal data of more than one million users intends to list in a foreign country, it must apply for a cybersecurity review. The New Measures further elaborates the factors to be considered when assessing the national security risks of the relevant activities, including, among others, (i) the risk of core data, important data or a large amount of personal information being stolen, leaked, destroyed, and illegally used or exited the country; and (ii) the risk of critical information infrastructure, core data, important data or a large amount of personal information being affected, controlled, or maliciously used by foreign governments after listing abroad.</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Given the nature of our business, we believe this risk is insignificant. Our Hong Kong Operating Subsidiary and Etoiles Financial may collect and store certain data (including certain personal information) from our clients for “Know Your Customers” purpose, who may be PRC individuals. We do not currently expect the New Measures to have an impact on our business, operations or this Offering as we do not believe that our Hong Kong Operating Subsidiary and Etoiles Financial are deemed to be an “operator of critical information infrastructure,” “data processor,” or “network platform operator” controlling personal information of no less than one million users, that are required to file for cybersecurity review before listing in the U.S., because (i) as of date of this prospectus, our Hong Kong Operating Subsidiary and Etoiles Financial have collected and stored personal information of far less than one million users; and (ii) as of the date of this prospectus, our Hong Kong Operating Subsidiary and Etoiles Financial have not been involved in any investigations on cybersecurity or data security initiated by related governmental regulatory authorities, and we have not received any inquiry, notice, warning, or sanction in such respect. Therefore, based on the opinion of our PRC Counsel, we are not covered by the permission and requirements from the CSRC nor CAC, and our Hong Kong Operating Subsidiary and Etoiles Financial are not required to receive any permissions from PRC authorities to operate its current business in Hong Kong or issue shares to foreign investors.</w:t>
      </w:r>
    </w:p>
    <w:p>
      <w:pPr>
        <w:spacing w:after="0" w:line="192"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the CSRC or other regulatory agencies later promulgate new rules or explanations requiring that we obtain their approvals for this Offering and any follow-on Offering, we cannot assure you that we will be able to list our Class A Ordinary Shares on U.S. exchanges, or continue to offer securities to investors, which would materially affect the interest of the investors and cause significantly depreciation of our price of Class A Ordinary Shares. See “Risk Factors — We may be required to obtain approval from PRC authorities to list on overseas stock exchanges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23" w:right="459" w:bottom="717"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76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Laws on Offshore Securities Offering</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a follow-up, 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According to the Trial Measures, together with the Guidance Rules and Notice, a domestic company in the PRC that seeks to offer and list securities on overseas markets shall fulfill the filing procedures with the CSRC as per requirement of the Trial Measures within 3 working days after the relevant application is submitted overseas. The Trial Measures also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Under the Trial Measures, a domestic company is prohibited from overseas offering and listing if any of the following circumstances is involved: (i) where such securities offering and listing is explicitly prohibited by provisions in laws, administrative regulations and relevant state rules; (ii) where the intended securities offering and listing may endanger national security as reviewed and determined by competent authorities under the State Council in accordance with laws; (iii) where the domestic company intending to make the securities offering and listing, or its controlling shareholders and the actual controller, have committed crimes such as corruption, bribery, embezzlement, misappropriation of property or undermining the order of the socialist market economy during the latest three years; (iv) where the domestic company intending to make the securities offering and listing is suspected of committing crimes or major violations of laws and regulations, and is under investigation according to law, and no conclusion has yet been made thereof; and (v) where there are material ownership disputes over equity held by the domestic company’s controlling shareholder or by other shareholders that are controlled by the controlling shareholder and/or actual controller.</w:t>
      </w:r>
    </w:p>
    <w:p>
      <w:pPr>
        <w:spacing w:after="0" w:line="20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these laws and regulations are recently issued, official guidance and related implementation rules have not been issued yet and the interpretation of these opinions remains unclear at this stage. We cannot assure you that any new rules or regulations promulgated in the future will not impose additional requirements on us. If it is determined in the future that approval from the CSRC or other regulatory authorities or other procedures are required for this Offering, it is uncertain whether we can or how long it will take us to obtain such approval or complete such procedures and any such approval or completion could be rescinded. Any failure to obtain or delay in obtaining such approval or completing such procedures for this Offering, or a rescission of any such approval if obtained by us, would subject us to sanctions by the CSRC or other PRC regulatory authorities for failure to seek CSRC approval or other government authorization for this Offering. These regulatory authorities may impose fines and penalties on our operations in China, limit our ability to pay dividends outside of China, limit our operating privileges in China, delay or restrict the repatriation of the Offering from this Offering into China or take other actions that could materially and adversely affect our business, financial condition, results of operations, and prospects, as well as the trading price of our Class A Ordinary Shares. The CSRC or other PRC regulatory authorities also may take actions requiring us, or making it advisable for us, to halt this Offering before settlement and delivery of the Class A Ordinary Shares Offering hereby.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this Offering,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shares.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981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981825"/>
                    </a:xfrm>
                    <a:prstGeom prst="rect">
                      <a:avLst/>
                    </a:prstGeom>
                    <a:noFill/>
                  </pic:spPr>
                </pic:pic>
              </a:graphicData>
            </a:graphic>
          </wp:anchor>
        </w:drawing>
        <w:t>Implications of the HFCA Act</w:t>
      </w:r>
    </w:p>
    <w:p>
      <w:pPr>
        <w:spacing w:after="0" w:line="22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Our auditor is required by the laws of the United States to undergo regular inspections by the PCAOB. If our securities become listed on a national securities exchange or quoted on the over-the-counter market in the United States, trading in our securities may be prohibited under the HFCA Act, and our securities may be subject to delisting if the PCAOB cannot inspect or completely investigate our auditor for three consecutive years beginning 2021. Our independent registered public accounting firm’s audit documentation related to their audit reports included in this prospectus include audit documentation located in mainland China. On June 22, 2021, the U.S. Senate passed Accelerating Holding Foreign Companies Accountable Act and on December 29, 2022, the Consolidated Appropriations Act was signed into law by the former President of the U.S., Mr. Joe Biden, which contained, among other things, an identical provision to Accelerating Holding Foreign Companies Accountable Act and amended the Holding Foreign Companies Accountable Act by requiring the SEC to prohibit an issuer’s securities from trading on a national securities exchange or in the over-the-counter market in the United States if its auditor is not subject to PCAOB inspections for two consecutive years instead of three, thus reducing the time before your securities may be prohibited from trading or delisted. On December 16, 2021, the PCAOB issued a report to notify the SEC its determinations that it is unable to inspect or investigate completely registered public accounting firms headquartered in mainland China and Hong Kong, respectively, and identifies the registered public accounting firms in mainland China and Hong Kong that are subject to such determinations. The auditor of the Company, SRCO, C.P.A., Professional Corporation, is located at Amherst, New York and is not among the auditor firms listed on the determination list issued by the PCAOB, which notes all of the auditor firms that the PCAOB is not able to inspect. SRCO, C.P.A, Professional Corporation. has been inspected by the PCAOB on a regular basis, with the last inspection in 2023. On August 26, 2022, the CSRC, the Ministry of Finance of the PRC, and the PCAOB signed a Statement of Protocol, or the Protocol, governing inspections and investigations of audit firms based in China and Hong Kong. The Protocol remains unpublished and is subject to further explanation and implementation.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Our securities may be delisted or prohibited from trading if the PCAOB determines that it cannot inspect or investigate completely our auditor under the HFCA Act. See “Risk Factors — 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324"/>
        <w:spacing w:after="0" w:line="265" w:lineRule="auto"/>
        <w:rPr>
          <w:sz w:val="20"/>
          <w:szCs w:val="20"/>
          <w:color w:val="auto"/>
        </w:rPr>
      </w:pPr>
      <w:r>
        <w:rPr>
          <w:rFonts w:ascii="Times New Roman" w:cs="Times New Roman" w:eastAsia="Times New Roman" w:hAnsi="Times New Roman"/>
          <w:sz w:val="18"/>
          <w:szCs w:val="18"/>
          <w:color w:val="auto"/>
        </w:rPr>
        <w:t>Our principal office is located at Unit 03-04, 25/F, Cosco Tower, 183 Queen’s Road Central, Sheung Wan, Hong Kong, and our telephone number is +852-2398-8699. Our registered office in the Cayman Islands is located at Ogier Global (Cayman) Limited, 89 Nexus Way, Camana Bay, Grand Cayman, KY1-9009, Cayman Islands. The information contained therein or connected thereto shall not be deemed to be incorporated into this prospectus or the registration statement of which it forms a part. Our agent for service of process in the United States is Cogency Global Inc., located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most recently completed fiscal year, we qualify as an “emerging growth company” as defined in Section 2(a) of the Securities Act, as modified by the JOBS Act. As an emerging growth company, we may take advantage of certain reduced disclosure and requirements that are otherwise applicable generally to U.S. public companies that are not emerging growth companies. These provisions include:</w:t>
      </w:r>
    </w:p>
    <w:p>
      <w:pPr>
        <w:spacing w:after="0" w:line="99" w:lineRule="exact"/>
        <w:rPr>
          <w:sz w:val="20"/>
          <w:szCs w:val="20"/>
          <w:color w:val="auto"/>
        </w:rPr>
      </w:pPr>
    </w:p>
    <w:p>
      <w:pPr>
        <w:ind w:left="640" w:right="20" w:hanging="324"/>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include in an initial public offering registration statement only two years of audited financial statements and selected financial data and only two years of related disclosure;</w:t>
      </w:r>
    </w:p>
    <w:p>
      <w:pPr>
        <w:spacing w:after="0" w:line="80"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executive compensation disclosure; and</w:t>
      </w:r>
    </w:p>
    <w:p>
      <w:pPr>
        <w:spacing w:after="0" w:line="144"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requirements of Section 404 of the Sarbanes-Oxley Act of 2002 (“Sarbanes-Oxley Act”) in the assessment of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6" w:name="page17"/>
    <w:bookmarkEnd w:id="1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208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8208010"/>
                    </a:xfrm>
                    <a:prstGeom prst="rect">
                      <a:avLst/>
                    </a:prstGeom>
                    <a:noFill/>
                  </pic:spPr>
                </pic:pic>
              </a:graphicData>
            </a:graphic>
          </wp:anchor>
        </w:drawing>
        <w:t>The JOBS Act also permits an emerging growth company, such as us, to delay adopting new or revised accounting standards until such time as those standards are applicable to private companies. We have not elected to “opt out” of this provision, which means that when a standard is issued or revised and it has different application dates for public or private companies, we will have the discretion to adopt the new or revised standard at the time private companies adopt the new or revised standard and Our discretion will remain until such time that we either (i) irrevocably elect to “opt out” of such extended transition period or (ii) no longer qualify as an emerging growth company.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144" w:lineRule="exact"/>
        <w:rPr>
          <w:sz w:val="20"/>
          <w:szCs w:val="20"/>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during which we have total annual revenue of at least $1.235 billion;</w:t>
      </w:r>
    </w:p>
    <w:p>
      <w:pPr>
        <w:spacing w:after="0" w:line="144"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closing of this Offering;</w:t>
      </w:r>
    </w:p>
    <w:p>
      <w:pPr>
        <w:spacing w:after="0" w:line="144"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securities; or</w:t>
      </w:r>
    </w:p>
    <w:p>
      <w:pPr>
        <w:spacing w:after="0" w:line="144"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 which, among other things, would occur if the market value of our Class A Ordinary Shares that are held by non-affiliates exceeds $700 million as of the last business day of our most recently completed second fiscal quarter.</w:t>
      </w:r>
    </w:p>
    <w:p>
      <w:pPr>
        <w:spacing w:after="0" w:line="9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taken advantage of reduced reporting requirements in this prospectus. Accordingly, the information contained herein may be different than the information you receive from other public companies.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are reporting under the Exchange Act as a “foreign private issuer.” As a foreign private issuer, we may take advantage of certain provisions under the Nasdaq rules that allow us to follow Cayman Islands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9" w:lineRule="exact"/>
        <w:rPr>
          <w:sz w:val="20"/>
          <w:szCs w:val="20"/>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80"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80"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of quarterly reports on Form 10-Q containing unaudited financial and other specified information, or current reports on Form 8-K, upon the occurrence of specified significant events; and</w:t>
      </w:r>
    </w:p>
    <w:p>
      <w:pPr>
        <w:spacing w:after="0" w:line="17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Fair Disclosure (“Regulation FD”), which regulates selective disclosures of material information by issuers.</w:t>
      </w:r>
    </w:p>
    <w:p>
      <w:pPr>
        <w:spacing w:after="0" w:line="14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a foreign private issuer. Foreign private issuers, like emerging growth companies, are also exempt from certain more stringent executive compensation disclosure rules. Thus, if we remain a foreign private issuer, even if we no longer qualify as an emerging growth company, we will continue to be exempt from the more stringent compensation disclosures required of public companies that are neither an emerging growth company nor a foreign private issuer.</w:t>
      </w:r>
    </w:p>
    <w:p>
      <w:pPr>
        <w:spacing w:after="0" w:line="9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apply:</w:t>
      </w:r>
    </w:p>
    <w:p>
      <w:pPr>
        <w:spacing w:after="0" w:line="95" w:lineRule="exact"/>
        <w:rPr>
          <w:sz w:val="20"/>
          <w:szCs w:val="20"/>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w:t>
      </w:r>
    </w:p>
    <w:p>
      <w:pPr>
        <w:spacing w:after="0" w:line="144"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are located in the United States; or</w:t>
      </w:r>
    </w:p>
    <w:p>
      <w:pPr>
        <w:spacing w:after="0" w:line="144"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administered principally in the United States.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became a “controlled company” as defined under the Nasdaq Listing Rules because at the time of the completion of the IPO, our Controlling Shareholder held 92.59% of our total issued and outstanding Shares and was able to exercise 92.59% of the total voting power of our issued and outstanding share capital. After this Resale Offering, we will continue to be a “controlled company” because at such time, our Controlling Shareholder will hold 92.59% of our total issued and outstanding Shares and will be able to exercise 92.59% of the total voting power of our issued and outstanding share capital. For so long as we remain a “controlled company,” we are permitted to elect not to comply with certain corporate governance requirements. If we rely on these exemptions, you will not have the same protection afforded to shareholders of companies that are subject to these corporate governance requirements. See section titled “</w:t>
      </w:r>
      <w:r>
        <w:rPr>
          <w:rFonts w:ascii="Times New Roman" w:cs="Times New Roman" w:eastAsia="Times New Roman" w:hAnsi="Times New Roman"/>
          <w:sz w:val="18"/>
          <w:szCs w:val="18"/>
          <w:i w:val="1"/>
          <w:iCs w:val="1"/>
          <w:color w:val="auto"/>
        </w:rPr>
        <w:t>Risk Risk Factors — Risks Related to Our Class A Ordinary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Even if we cease to be a controlled company, we may still rely on exemptions available to foreign private issuers.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850" w:right="459" w:bottom="1440" w:gutter="0" w:footer="0" w:header="0"/>
        </w:sectPr>
      </w:pPr>
    </w:p>
    <w:bookmarkStart w:id="17" w:name="page18"/>
    <w:bookmarkEnd w:id="17"/>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being offered:</w:t>
      </w:r>
    </w:p>
    <w:p>
      <w:pPr>
        <w:spacing w:after="0" w:line="306"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Number of Class A Ordinary Shares offered by us:</w:t>
      </w:r>
    </w:p>
    <w:p>
      <w:pPr>
        <w:spacing w:after="0" w:line="202" w:lineRule="exact"/>
        <w:rPr>
          <w:sz w:val="20"/>
          <w:szCs w:val="20"/>
          <w:color w:val="auto"/>
        </w:rPr>
      </w:pPr>
    </w:p>
    <w:p>
      <w:pPr>
        <w:ind w:left="180" w:hanging="179"/>
        <w:spacing w:after="0" w:line="282" w:lineRule="auto"/>
        <w:rPr>
          <w:sz w:val="20"/>
          <w:szCs w:val="20"/>
          <w:color w:val="auto"/>
        </w:rPr>
      </w:pPr>
      <w:r>
        <w:rPr>
          <w:rFonts w:ascii="Times New Roman" w:cs="Times New Roman" w:eastAsia="Times New Roman" w:hAnsi="Times New Roman"/>
          <w:sz w:val="18"/>
          <w:szCs w:val="18"/>
          <w:color w:val="auto"/>
        </w:rPr>
        <w:t>Number of Class A Ordinary Shares offered by the Selling Shareholder:</w:t>
      </w:r>
    </w:p>
    <w:p>
      <w:pPr>
        <w:spacing w:after="0" w:line="202" w:lineRule="exact"/>
        <w:rPr>
          <w:sz w:val="20"/>
          <w:szCs w:val="20"/>
          <w:color w:val="auto"/>
        </w:rPr>
      </w:pPr>
    </w:p>
    <w:p>
      <w:pPr>
        <w:ind w:left="180" w:right="280" w:hanging="179"/>
        <w:spacing w:after="0" w:line="312" w:lineRule="auto"/>
        <w:rPr>
          <w:sz w:val="20"/>
          <w:szCs w:val="20"/>
          <w:color w:val="auto"/>
        </w:rPr>
      </w:pPr>
      <w:r>
        <w:rPr>
          <w:rFonts w:ascii="Times New Roman" w:cs="Times New Roman" w:eastAsia="Times New Roman" w:hAnsi="Times New Roman"/>
          <w:sz w:val="17"/>
          <w:szCs w:val="17"/>
          <w:color w:val="auto"/>
        </w:rPr>
        <w:t>Number of Ordinary Shares outstanding before this Resale Offering:</w:t>
      </w:r>
    </w:p>
    <w:p>
      <w:pPr>
        <w:spacing w:after="0" w:line="180" w:lineRule="exact"/>
        <w:rPr>
          <w:sz w:val="20"/>
          <w:szCs w:val="20"/>
          <w:color w:val="auto"/>
        </w:rPr>
      </w:pPr>
    </w:p>
    <w:p>
      <w:pPr>
        <w:ind w:left="180" w:right="100" w:hanging="179"/>
        <w:spacing w:after="0" w:line="312" w:lineRule="auto"/>
        <w:rPr>
          <w:sz w:val="20"/>
          <w:szCs w:val="20"/>
          <w:color w:val="auto"/>
        </w:rPr>
      </w:pPr>
      <w:r>
        <w:rPr>
          <w:rFonts w:ascii="Times New Roman" w:cs="Times New Roman" w:eastAsia="Times New Roman" w:hAnsi="Times New Roman"/>
          <w:sz w:val="17"/>
          <w:szCs w:val="17"/>
          <w:color w:val="auto"/>
        </w:rPr>
        <w:t>Class A Ordinary Shares to be outstanding immediately after the Resale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Times New Roman" w:cs="Times New Roman" w:eastAsia="Times New Roman" w:hAnsi="Times New Roman"/>
          <w:sz w:val="18"/>
          <w:szCs w:val="18"/>
          <w:b w:val="1"/>
          <w:bCs w:val="1"/>
          <w:color w:val="auto"/>
        </w:rPr>
        <w:t>THE RESALE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-285750</wp:posOffset>
            </wp:positionV>
            <wp:extent cx="7127875" cy="3449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34499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Class A Ordinary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3,213,000 Class A Ordinary Shares.</w:t>
      </w:r>
    </w:p>
    <w:p>
      <w:pPr>
        <w:spacing w:after="0" w:line="200" w:lineRule="exact"/>
        <w:rPr>
          <w:sz w:val="20"/>
          <w:szCs w:val="20"/>
          <w:color w:val="auto"/>
        </w:rPr>
      </w:pPr>
    </w:p>
    <w:p>
      <w:pPr>
        <w:spacing w:after="0" w:line="2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20,110,000 Ordinary Shares, consisting of 15,110,000 Class A Ordinary Shares and 5,000,000 Class B Ordinary Shares.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20,110,000 Ordinary Shares outstanding immediately after the resale offering, consisting of 15,110,000 Class A Ordinary Shares and 5,000,000 Class B Ordinary Shares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Class A Ordinary Shares by the Selling Shareholders named in this Resale Prospectus.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“Risk Factors” and other information included in this prospectus for a discussion of factors you should carefully consider before deciding to invest in our Class A Ordinary Shares.</w:t>
      </w:r>
    </w:p>
    <w:p>
      <w:pPr>
        <w:spacing w:after="0" w:line="200" w:lineRule="exact"/>
        <w:rPr>
          <w:sz w:val="20"/>
          <w:szCs w:val="20"/>
          <w:color w:val="auto"/>
        </w:rPr>
      </w:pPr>
    </w:p>
    <w:p>
      <w:pPr>
        <w:sectPr>
          <w:pgSz w:w="11900" w:h="16838" w:orient="portrait"/>
          <w:cols w:equalWidth="0" w:num="2">
            <w:col w:w="3160" w:space="360"/>
            <w:col w:w="7440"/>
          </w:cols>
          <w:pgMar w:left="460" w:top="954" w:right="47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54" w:right="47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023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8602345"/>
                    </a:xfrm>
                    <a:prstGeom prst="rect">
                      <a:avLst/>
                    </a:prstGeom>
                    <a:noFill/>
                  </pic:spPr>
                </pic:pic>
              </a:graphicData>
            </a:graphic>
          </wp:anchor>
        </w:drawing>
        <w:t>SUMMARY CONSOLIDATED FINANCIAL DATA</w:t>
      </w:r>
    </w:p>
    <w:p>
      <w:pPr>
        <w:spacing w:after="0" w:line="229" w:lineRule="exact"/>
        <w:rPr>
          <w:sz w:val="20"/>
          <w:szCs w:val="20"/>
          <w:color w:val="auto"/>
        </w:rPr>
      </w:pPr>
    </w:p>
    <w:p>
      <w:pPr>
        <w:jc w:val="both"/>
        <w:ind w:left="20" w:firstLine="324"/>
        <w:spacing w:after="0" w:line="256" w:lineRule="auto"/>
        <w:rPr>
          <w:sz w:val="20"/>
          <w:szCs w:val="20"/>
          <w:color w:val="auto"/>
        </w:rPr>
      </w:pPr>
      <w:r>
        <w:rPr>
          <w:rFonts w:ascii="Times New Roman" w:cs="Times New Roman" w:eastAsia="Times New Roman" w:hAnsi="Times New Roman"/>
          <w:sz w:val="18"/>
          <w:szCs w:val="18"/>
          <w:color w:val="auto"/>
        </w:rPr>
        <w:t>The following summary consolidated statements of operations and comprehensive income for the years ended December 31, 2024 and 2023 and consolidated balance sheets data as of December 31, 2024 and 2023 have been derived from our consolidated financial statements included elsewhere in this prospectus. Our consolidated financial statements are prepared and presented in accordance with U.S. GAAP. Our historical results are not necessarily indicative of the results that may be expected for any future period. The following summary consolidated financial data should be read in conjunction with “Management’s Discussion and Analysis of Financial Condition and Results of Operations” and our consolidated financial statements included elsewhere in this prospectus.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and Comprehensive Income Data:</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4"/>
        </w:trPr>
        <w:tc>
          <w:tcPr>
            <w:tcW w:w="84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1,441,024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current assets,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11,249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due from a director</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309,507</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41,932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 current assets, net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18,593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53,418</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initial public offering costs</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181,688</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2,069,102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958,314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48,841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16,812</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due to a director</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35,521</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152,364</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2,737</w:t>
            </w:r>
          </w:p>
        </w:tc>
      </w:tr>
      <w:tr>
        <w:trPr>
          <w:trHeight w:val="223"/>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liability:</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4,577</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liability</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1,180,908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38,834</w:t>
            </w: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4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 450,000,000 shares authorized, par value US$0.0001 each, 13,500,000 Class A ordinary shares</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198"/>
        </w:trPr>
        <w:tc>
          <w:tcPr>
            <w:tcW w:w="8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 50,000,000 shares authorized, par value US$0.0001 each, 5,000,000 Class B ordinary shares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881,721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29,222</w:t>
            </w: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4,123</w:t>
            </w: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84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888,194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31,642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2,069,102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Subsequent Events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54" w:right="459" w:bottom="1440" w:gutter="0" w:footer="0" w:header="0"/>
        </w:sectPr>
      </w:pPr>
    </w:p>
    <w:bookmarkStart w:id="19" w:name="page20"/>
    <w:bookmarkEnd w:id="19"/>
    <w:tbl>
      <w:tblPr>
        <w:tblLayout w:type="fixed"/>
        <w:tblInd w:w="120" w:type="dxa"/>
        <w:tblCellMar>
          <w:top w:w="0" w:type="dxa"/>
          <w:left w:w="0" w:type="dxa"/>
          <w:bottom w:w="0" w:type="dxa"/>
          <w:right w:w="0" w:type="dxa"/>
        </w:tblCellMar>
      </w:tblP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5"/>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(534,880)</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(130,494)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(859,935)</w:t>
            </w:r>
          </w:p>
        </w:tc>
        <w:tc>
          <w:tcPr>
            <w:tcW w:w="2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23"/>
        </w:trPr>
        <w:tc>
          <w:tcPr>
            <w:tcW w:w="8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(1,525,309</w:t>
            </w:r>
          </w:p>
        </w:tc>
        <w:tc>
          <w:tcPr>
            <w:tcW w:w="22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1,000,600</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(3,770)</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(3,684</w:t>
            </w:r>
          </w:p>
        </w:tc>
        <w:tc>
          <w:tcPr>
            <w:tcW w:w="220" w:type="dxa"/>
            <w:vAlign w:val="bottom"/>
            <w:tcBorders>
              <w:top w:val="single" w:sz="8" w:color="CCEEFF"/>
              <w:bottom w:val="single" w:sz="8" w:color="CCEEFF"/>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996,916</w:t>
            </w:r>
          </w:p>
        </w:tc>
        <w:tc>
          <w:tcPr>
            <w:tcW w:w="20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(144,417)</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852,499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856,552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32,766</w:t>
            </w: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 per share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0.0461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0.0018</w:t>
            </w:r>
          </w:p>
        </w:tc>
        <w:tc>
          <w:tcPr>
            <w:tcW w:w="0" w:type="dxa"/>
            <w:vAlign w:val="bottom"/>
          </w:tcPr>
          <w:p>
            <w:pPr>
              <w:spacing w:after="0"/>
              <w:rPr>
                <w:sz w:val="1"/>
                <w:szCs w:val="1"/>
                <w:color w:val="auto"/>
              </w:rPr>
            </w:pPr>
          </w:p>
        </w:tc>
      </w:tr>
      <w:tr>
        <w:trPr>
          <w:trHeight w:val="223"/>
        </w:trPr>
        <w:tc>
          <w:tcPr>
            <w:tcW w:w="8480" w:type="dxa"/>
            <w:vAlign w:val="bottom"/>
            <w:tcBorders>
              <w:top w:val="single" w:sz="8" w:color="CCEEFF"/>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605790</wp:posOffset>
            </wp:positionV>
            <wp:extent cx="7127875" cy="7821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78219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60" w:type="dxa"/>
            <w:vAlign w:val="bottom"/>
          </w:tcPr>
          <w:p>
            <w:pPr>
              <w:spacing w:after="0"/>
              <w:rPr>
                <w:sz w:val="18"/>
                <w:szCs w:val="18"/>
                <w:color w:val="auto"/>
              </w:rPr>
            </w:pPr>
          </w:p>
        </w:tc>
        <w:tc>
          <w:tcPr>
            <w:tcW w:w="16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60" w:type="dxa"/>
            <w:vAlign w:val="bottom"/>
          </w:tcPr>
          <w:p>
            <w:pPr>
              <w:spacing w:after="0"/>
              <w:rPr>
                <w:sz w:val="21"/>
                <w:szCs w:val="21"/>
                <w:color w:val="auto"/>
              </w:rPr>
            </w:pP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40" w:type="dxa"/>
            <w:vAlign w:val="bottom"/>
          </w:tcPr>
          <w:p>
            <w:pPr>
              <w:spacing w:after="0"/>
              <w:rPr>
                <w:sz w:val="21"/>
                <w:szCs w:val="21"/>
                <w:color w:val="auto"/>
              </w:rPr>
            </w:pPr>
          </w:p>
        </w:tc>
        <w:tc>
          <w:tcPr>
            <w:tcW w:w="17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Total Share Capital</w:t>
            </w:r>
          </w:p>
        </w:tc>
        <w:tc>
          <w:tcPr>
            <w:tcW w:w="10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1"/>
                <w:szCs w:val="21"/>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21"/>
                <w:szCs w:val="21"/>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right"/>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16"/>
                <w:szCs w:val="16"/>
                <w:color w:val="auto"/>
              </w:rPr>
            </w:pPr>
          </w:p>
        </w:tc>
        <w:tc>
          <w:tcPr>
            <w:tcW w:w="132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6"/>
                <w:szCs w:val="16"/>
                <w:color w:val="auto"/>
              </w:rPr>
            </w:pPr>
          </w:p>
        </w:tc>
        <w:tc>
          <w:tcPr>
            <w:tcW w:w="12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1"/>
                <w:szCs w:val="21"/>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tcBorders>
              <w:right w:val="single" w:sz="8" w:color="CCEEFF"/>
            </w:tcBorders>
            <w:vMerge w:val="continue"/>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CCEEFF"/>
            </w:tcBorders>
          </w:tcPr>
          <w:p>
            <w:pPr>
              <w:ind w:left="20"/>
              <w:spacing w:after="0" w:line="171" w:lineRule="exact"/>
              <w:rPr>
                <w:sz w:val="20"/>
                <w:szCs w:val="20"/>
                <w:color w:val="auto"/>
              </w:rPr>
            </w:pPr>
            <w:r>
              <w:rPr>
                <w:rFonts w:ascii="Times New Roman" w:cs="Times New Roman" w:eastAsia="Times New Roman" w:hAnsi="Times New Roman"/>
                <w:sz w:val="18"/>
                <w:szCs w:val="18"/>
                <w:color w:val="auto"/>
              </w:rPr>
              <w:t>Balance as of</w:t>
            </w:r>
          </w:p>
        </w:tc>
        <w:tc>
          <w:tcPr>
            <w:tcW w:w="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29,222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852,499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60" w:type="dxa"/>
            <w:vAlign w:val="bottom"/>
          </w:tcPr>
          <w:p>
            <w:pPr>
              <w:spacing w:after="0"/>
              <w:rPr>
                <w:sz w:val="18"/>
                <w:szCs w:val="18"/>
                <w:color w:val="auto"/>
              </w:rPr>
            </w:pP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tcPr>
          <w:p>
            <w:pPr>
              <w:spacing w:after="0"/>
              <w:rPr>
                <w:sz w:val="18"/>
                <w:szCs w:val="18"/>
                <w:color w:val="auto"/>
              </w:rPr>
            </w:pPr>
          </w:p>
        </w:tc>
        <w:tc>
          <w:tcPr>
            <w:tcW w:w="1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881,721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888,194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6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6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Ordinary Shares is highly speculative and involves a significant degree of risk. You should carefully consider the following risks, as well as other information contained in this prospectus, before making an investment in our company. The risks discussed below could materially and adversely affect our business, prospects, financial condition, results of operations, cash flows, ability to pay dividends and the trading price of our Class A Ordinary Shares. Additional risks and uncertainties not currently known to us or that we currently deem to be immaterial may also materially and adversely affect our business, prospects, financial condition, results of operations, cash flows and ability to pay dividends, and you may lose all or part of your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performance is highly influenced by the conditions of the capital markets in Hong Kong.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substantial part of our business operations were concentrated in the capital markets sector in Hong Kong during the years ended December 31, 2024 and 2023 and up to the date of this prospectus. Any material deterioration in the financial and economic conditions of the capital markets in Hong Kong could materially and adversely affect our business and prospects. The Hong Kong integrated investor relation market is susceptible to changes in the global as well as domestic economic, social and political conditions including, without limitation, interest rate fluctuations, volatility of foreign currency exchange rates, monetary policy changes, the outcome of the Sino-US trade dispute, the U.S. interest rate outlook, social and political unrest in Hong Kong and legal and regulatory changes. When there are unfavorable changes to global or local market conditions, the capital markets in Hong Kong may experience negative fluctuations in its performance. These changes may directly affect the demand for our services, our pricing strategies, the level of our business activities and consequently our revenue derived therefrom. This may materially and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revenue from our integrated investor relation business is non-recurring in nature and our profitability is highly unpredictable.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performance of our integrated investor relation services depends, to a large extent, on our ability to leverage our business network and relationships to source and retain clients. A portion of our contracts are negotiated on a project-by-project basis with our clients, the revenue generated from our services may fluctuate from time to time and often does not recur. The number of projects undertaken by us, the revenue generated from each client and the total revenue derived from our projects are affected by numerous factors such as market conditions, the terms of each engagement, manpower required, subcontracting arrangement, project duration and the complexity and completion timeline of each project, resulting in uncertainties in relation to the sustainability of our financial performance. There is no assurance that the clients which have previously sought our services will continue to retain us for future business.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2024 and 2023, part of our revenue from the provision of integrated investor relation services were project-based services. However, the extent of such project-based services provided, as well as our fee levels, are subject to our clients’ demands. Accordingly, our revenue may vary from period to period depending upon the number, type and fee level of our services. Our future results of operations will depend upon our ability to maintain or increase the number of our clients and projects at acceptable fee levels. In addition, the timing of completion of our projects will affect our cash flows generated from operations, and delays in the completion of our projects may defer payments from our clients, which would adversely affect our cash flows and results of operations. If we are not able to maintain or grow our current fee levels or maintain or increase the number of our clients, both of which are dependent on various factors such as competition and economic conditions, our results of operations may be adversely affected. In these circumstances, our revenue and profitability may fluctuate from year to year and our future financial performance is therefore highly unpredictable.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During the fiscal years ended December 31, 2024 and 2023, our five largest customers accounted for a significant portion of our total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 was derived from a limited number of customers. The number of clients with revenue contribution to us was 1 for the fiscal year ended December 31, 2023 and 22 for the fiscal year ended December 31, 2024. The total revenue attributable to our five largest clients in aggregate accounted for approximately 48.6% and 100.0% of the total revenue for the fiscal years ended December 31, 2024 and 2023, respectively. There is no assurance that the clients which have previously sought our services will continue to retain us for future business.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there is a significant decrease in the services sought by our major customers, and we are unable to obtain suitable engagements of a comparable size and quantity as replacements from other customers, our financial condition and operating results would be materially and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Since we do not enter into exclusive service agreements with our existing clients, it is difficult to predict our future results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of our Hong Kong Operating Subsidiary’s service agreements with our clients are entered into on a project basis and not through long term exclusive agreements. For those service agreements over a period of time, they are generally non-exclusive. Therefore, we cannot assure you that a client will engage us for future services once the service agreements have been completed, or that a client will not reduce the scope of, or terminate, the existing projects. Since we do not have exclusive service agreements with our existing integrated investor relation clients, our client service agreements may be terminated from time to time due to various reasons beyond our control, making it difficult to predict our future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condition of our clients may deteriorate and their fee settlement to us may be slow, which may adversely affect our cash flows, working capital,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decline in the financial condition of our clients would hinder our ability to collect payments from our clients, and would also result in a decrease in demand for our services in the future. A lack of liquidity in the capital markets, or a sustained period of unfavorable general economic conditions or conditions affecting the operations or industries of our clients may increase our exposure to credit risks and result in increases in our allowance for doubtful receivables. These factors may also materially and adversely affect our cash flows, working capital, financial condition and results of operations. We are also subject to the risk of payment deferral by our clients as part of our business operations. We cannot assure you that we will be able to fully recover the outstanding amounts due from our clients, if at all, or that they will settle the amounts in a timely manner. If settlements by our clients are not made in full or in a timely manner, our financial condition and results of operations will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may be adversely affected if third parties to whom we outsource a small portion of our integrated investor relation services fail to perform satisfactorily and/or there occur negative events concerning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Hong Kong Operating Subsidiary outsource a small portion of our services to third parties in the course of our business. We primarily outsource certain roadshow arrangement services and other ancillary services to public relation companies. If these third parties do not perform their services satisfactorily, or if they decide not to continue to provide such services to us, our business could be adversely affected. If we fail to identify and secure comparable third party service providers in a timely manner and on commercially reasonable terms, we may experience delays in providing services to our clients, which may negatively affect our business. Any service interruptions experienced by our clients could negatively impact our reputation, resulting in loss of existing clients and inability to attract new clients. Furthermore, we may even become subject to civil claims by our clients or other third parties. Under such circumstances, our business, financial condition and results of operations may be materially and adversely affected. Moreover, our reputation is susceptible to damage in case of any negative events in relation to our operations, including, without limitation, negative publicity or media coverage, development of scandals, litigation and disputes, and regulatory enquiries or enforcement actions taken against us or our employees. We cannot assure that such negative events will not happen in the future. If they materialize, it may have a material adverse impact on our reputation and in turn our business activities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key management and professional staff, the loss of whom may affect our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Group has an experienced and competent management team that is responsible for directing and managing our daily operations, overseeing our financial condition and performance, and formulating our business strategies. Leveraging on their experience and networks in the industry, we have been successfully expanding our business. However, we cannot assure you that we can retain the services of our key management and find suitable replacements if any of them terminates his or her engagement with us, given the intense competition for experienced and competent personnel in the industry. Other than our key management, we also rely on our professional staff in different business operations to implement our business strategies, provide quality services to clients, maintain relationship with clients and procure new clients. Loss of our professional staff and failure to recruit replacement will materially and adversely affect our business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changes in the laws and regulations governing the companies listed on the stock exchanges in Hong Kong and the U.S.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years ended December 31, 2024 and 2023, a large number of our clients were companies to be listed or already listed on the stock exchanges in Hong Kong, and a small number of our clients were companies to be listed or already listed on the stock exchanges in the U.S. Our clients are therefore subject to all applicable laws and regulations relating to the listing of their securities on the stock exchange in Hong Kong and the U.S., including but not limited to, the Rules Governing the Listing of Securities on the Stock Exchange of Hong Kong Limited and the Nasdaq Listing Rules. As a result, our results of operations are affected by changes in the regulatory environment in Hong Kong and the U.S. Any change in Hong Kong and PRC laws and regulations, such as additional restrictions or requirements on integrated investor relation services providers, or new regulations that impose new restrictions on the ability of companies to list on the stock exchanges in Hong Kong and the U.S., or the abolishment of or amendment to disclosure requirements imposed on listed companies, may also adversely affect the demand for our services, which may in turn materially and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pressure on the level of our service fees.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the determination of service fees is primarily based on demand for our services, cost of services, and the service fees charged by our competitors for the same or similar services, we cannot assure you that we will be able to maintain the level of the service fees that we currently charge. In the event that the demand for our services decreases, or the level of the service fees decreases in the future due to existing or new competition or any other factors beyond our control, we may have to reduce the current level of fees charged for our services, which may materially and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litigation, arbitration or other legal proceeding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be subject to arbitration claims and lawsuits in the ordinary course of our business. As of the date of this prospectus, we are not a party to, and are not aware of any threat of, any legal proceeding that, in the opinion of our management, is likely to have a material adverse effect on our business, financial condition or operations. Actions brought against us may result in settlements, awards, injunctions, fines, penalties and other results adverse to us. A substantial judgment, settlement, fine or penalty could be material to our operating results or cash flows for a particular period, depending on our results for that period, or could cause us significant reputational harm, which could harm our business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keep clients’ information confidential or if we handle information improperly or make misstatements of such information, our business and reputation could be materially and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private and confidential information and documentation relating to our clients’ finances and transactions, often prior to public dissemination. The use of insider or price sensitive information is highly regulated in Hong Kong and overseas, and any violation of the relevant securities laws and regulations may result in civil and criminal penalties. There is no assurance that we can completely eliminate the risk of any misstatement or leakage of confidential information and customer data. If we fail to keep clients’ proprietary information and documentation confidential, or if we handle the information improperly or make misstatements of such information, our reputation may be adversely affected or even lost. At the same time, we may expose our clients to a significant loss of revenue as a result of any premature release or misstatements of confidential information. As such, we may also become subject to civil claims by our clients or other third parties or investigations by relevant authorities.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implement our future business plans.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is dependent on, among other things, our proper and timely execution of our future business plans. Our future business plans may be hindered by factors beyond our control, such as competition within the industry we operate, our ability to cope with high exposure to financial risk, operational risk, market risk and credit risk as our business and client base expands and our ability to provide, maintain and improve the level of human and other resources in servicing our clients. As such, we cannot assure that our future business plans will materialize, or that our objectives will be accomplished fully or partially, or our business strategies will generate the intended benefits to us as initially contemplated. If we fail to implement our business development strategies successfully, our business performance, financial condition and future prospects and growth could be materially and adversely affected.</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in the future pursue acquisitions and joint ventures as part of our growth strategy. Although no acquisitions nor joint ventures are anticipated at the date of this document, any future acquisition or joint venture may result in exposure to potential liabilities of the acquired companies and significant transaction costs, and also may present new risks associated with entering additional markets or offering new services and integrating the acquired companies or newly established joint ventures. Moreover, we may not have sufficient management, financial and other resources to integrate companies we acquire or to successfully operate joint ventures, and we may be unable to profitably operate our expanded company structure. Additionally, any new business that we may acquire or joint ventures we may form, once integrated with our existing operations, may not produce expected or intended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operate, including communicating with clients and the relevant listing authorities. Moreover, besides COVID-19, our business and ability to operate could also be adversely affected by Ebola virus disease, Zika virus disease, H1N1 flu, H7N9 flu, avian flu, SARS or other epidemics. Our headquarters are located in Hong Kong, where our directors and management and a majority of our employees currently reside. In addition, our system hardware and back-up systems are hosted in leased facilities located in Hong Kong. Consequently, we are highly susceptible to factors such as these that may adversely affect Hong Kong. If any of the abovementioned natural disasters, health epidemics or other outbreaks were to occur in Hong Kong, our operation may experience material disruptions, such as temporary closure of our offices and suspension of services, which may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wars in Ukraine and in the Middle East could materially and adversely affect our business and results of operations.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outbreak of wars in Ukraine and the Middle East has already affected global economic markets, including a dramatic increase in the price of oil and gas, and the uncertain resolution of this conflict could result in protracted and/or severe damage to the global economy. Russia’s military incursion and the conflict in the Middle East and the resulting sanctions could adversely affect global energy and financial markets and thus could affect the global markets, our customers’ businesses and potentially our business. As of the date of this prospectus, to the best knowledge of the Company, we and our Hong Kong subsidiaries (i) do not have any direct business or contracts with any Russian, Ukraine, or Middle East entity as a supplier or customer, (ii) do not have any knowledge whether any our clients or suppliers have any direct business or contracts with any Russian entity, (iii) our business lines of service, projects, or operations were not materially impacted by disruptions caused the war in Ukraine and in the Middle East for the years ended December 31, 2024 and 2023, and (iv) have not been financially affected by the wars in Ukraine and the Middle East. The extent and duration of the military action, sanctions and resulting market disruptions are impossible to predict, but could be substantial. Any such disruptions caused by Russian military action or resulting sanctions or further escalation for the war in the Middle East may magnify the impact of other risks described in this section. We cannot predict the progress or outcome of the situation in Ukraine and in the Middle East, as the conflict and governmental reactions are rapidly developing and beyond their control. Prolonged unrest, intensified military activities or more extensive sanctions impacting the region could have a material adverse effect on the global economy, and such effect could in turn have a material adverse effect on our business, financial condition, results of operations, and prospects.</w:t>
      </w:r>
    </w:p>
    <w:p>
      <w:pPr>
        <w:spacing w:after="0" w:line="200" w:lineRule="exact"/>
        <w:rPr>
          <w:sz w:val="20"/>
          <w:szCs w:val="20"/>
          <w:color w:val="auto"/>
        </w:rPr>
      </w:pPr>
    </w:p>
    <w:p>
      <w:pPr>
        <w:spacing w:after="0" w:line="21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anticipate any new or heightened risk of potential cyberattacks by state actors or others since Russia’s invasion of Ukraine and the war in the Middle East, and we have not taken any actions to mitigate such potential risks. Our board of directors will continue to monitor any potential risks that might arise due to the war in Ukraine and in the Middle East which are specific to the Company, including but not limited to risks related to cybersecurity, sanctions, and supply chain, suppliers, or service providers in affected regions as well as risks connected with ongoing or halted operations or investments in affected regions.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 may be materially and adversely affected by a downturn in Hong Kong, mainland China or the global economy.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of our operations are currently located in Hong Kong, and all of our revenue was generated in Hong Kong for the years ended December 31, 2024 and 2023. We currently do not have any operation outside Hong Kong. Nevertheless, our business, prospects, financial condition and results of operations may be influenced to a significant degree by the political, economic and social conditions in Hong Kong and mainland China generally and by the continued economic growth in Hong Kong and mainland China as a whole. While the mainland China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mainland China economy, but may have a negative effect on us.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rapid growth of the mainland China economy has decelerated gradually over the years and may continue. There exists also uncertainty over the long-term effects of the expansionary monetary and fiscal policies adopted by the central banks and financial authorities of some of the world’s leading economies, including the United States and the PRC, before 2020. Unrest, terrorist threats and the potential for war in the Middle East and elsewhere may increase market volatility across the globe. Any prolonged slowdown in the global or the Chinese economy may affect potential customers’ confidence in the financial market as a whole and have a negative impact on our financial condition. Further, recent global economic conditions including inflationary pressures and high interest rate, have affected our profitability in Hong Kong and mainland China. Our Hong Kong Operating Subsidiary and Etoiles Financial constantly face (i) increase in labor cost due to rising wage; and (ii) increase in rental cost of office; (iii) increase in service fee charged by our vendors, resulting in increase in cost of revenue and selling expense and decrease in gross profit. Continued pressure from global economic conditions may affect the Hong Kong and mainland China markets in the future and in turn, may affect our operations.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continued turbulence in the international markets may adversely affect our ability to access the capital markets to meet liquidity needs. We cannot assure that there will not be any unfavorable changes in the Hong Kong and mainland China economies that could impact the industries in which we operate, which could in turn diminish the demand for our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data and information in this prospectus were obtained from third-party sources and were not independently verified by us.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engaged Cundi Solution Limited to prepare a commissioned industry report that analyzes the Hong Kong financial public relation industry. Information and data relating to the Hong Kong integrated investor relation industry have been derived from Cundi’s industry report. Statistical data included in the Cundi report also include projections based on a number of assumptions. The Hong Kong financial public relation industry may not grow at the rate projected by market data, or at all. Any failure of the Hong Kong integrated investor relation industry to grow at the projected rate may have a material adverse effect on our business and the market price of our Class A Ordinary Shares. Furthermore, if any one or more of the assumptions underlying the market data is later found to be incorrect, actual results may differ from the projections based on these assumptions.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independently verified the data and information contained in the Cundi report or any third-party publications and reports. Cundi has relied on in preparing its report. Data and information contained in such third-party publications and reports may be collected using third-party methodologies, which may differ from the data collection methods used by us. In addition, these industry publications and reports generally indicate that the information contained therein is believed to be reliable, but do not guarantee the accuracy and completeness of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effective internal controls over financial reporting may affect our ability to accurately report our financial results or prevent fraud.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filing the registration statement of which this prospectus is a part, we were a private company with limited accounting personnel and resources to address our internal control over financial reporting. Our management has not completed an assessment of the effectiveness of our internal control over financial reporting and our independent registered public accounting firm has not conducted an audit of our internal control over financial reporting. However, in connection with the audits of our consolidated financial statements for the years ended December 31, 2024 and 2023, we and our independent registered public accounting firm identified material weaknesses in our internal control over financial reporting as well as other control deficiencies for the above mentioned periods. As defined in the standards established by the PCAOB, a “material weakness” is a deficiency, or a combination of deficiencies, in internal control over financial reporting. There is a reasonable possibility that a material misstatement in our annual or interim financial statements may not be prevented or detected on a timely basis. The material weakness identified is related to (i) inadequate segregation of duties for certain key functions due to limited staff and resources; and (ii) a lack of independent directors and an audit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implement measures designed to improve our internal control over financial reporting to address the underlying causes of these material weaknesses, including (i) hiring more qualified staff to fill up the key roles in the operations; (ii) appointing independent directors; (iii) establishing an audit committee; and (iv) strengthening our corporate governance. We intend to implement the above measures prior to the listing and we expect the remediation to be completed upon listing.</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Effective internal control over financial reporting is important to prevent fraud. The market for and trading price of our Class A Ordinary Shares may be materially and adversely affected if we do not have effective internal controls. We may not be able to discover problems in a timely manner and our current and potential shareholders may lose confidence in our financial reporting, which may harm our business and the trading price of our Class A Ordinary Shares. The absence of internal controls over financial reporting may inhibit investors from purchasing our Class A Ordinary Shares and may make it more difficult for us to raise funds in debt or equity financing. Additional material weaknesses or significant deficiencies may be identified in the future. If we identify such issues or if we are unable to produce accurate and timely financial statements, our stock price may decline and we may be unable to maintain compliance with the Nasdaq rules.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lacks experience in managing a U.S. public company and complying with laws applicable to such company, the failure of which may adversely affect our business, financial condition and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management team lacks experience in managing a U.S. publicly traded company, interacting with public company investors and complying with the increasingly complex laws pertaining to U.S. public companies. Prior to the Offering, we were a private company mainly operating our businesses in Hong Kong and mainland China. As a result of this Offering, our Company will become subject to significant regulatory oversight and reporting obligations under the federal securities laws and the scrutiny of securities analysts and investors, and our management currently has no experience in complying with such laws, regulations and obligations. Our management team may not successfully or efficiently manage our transition to becoming a U.S. public company.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ability to pay dividends is primarily dependent upon the earnings of, and distributions by, our Hong Kong subsidiaries.</w:t>
      </w:r>
    </w:p>
    <w:p>
      <w:pPr>
        <w:spacing w:after="0" w:line="15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The Class A Ordinary Shares offered in this prospectus are those of Etoiles Cayman. Etoiles Cayman is an exempted company incorporated under the laws of the Cayman Islands with limited liability. A substantial part of our business operations are conducted through our Hong Kong Operating Subsidiary, and hence, our revenues are contributed by our Hong Kong Operating Subsidiary. We intend to retain all available funds and future earnings, if any, for operation and business development, however, we may pay dividends on our Class A Ordinary Shares in the foreseeable future. See “Dividend Policy”.</w:t>
      </w:r>
    </w:p>
    <w:p>
      <w:pPr>
        <w:spacing w:after="0" w:line="16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pay dividends to our shareholders is primarily dependent upon the earnings of our Hong Kong Operating Subsidiary and their distribution of funds to us, primarily in the form of dividends. The ability of our Hong Kong subsidiary to make distributions to us depends upon, among others, its distributable earnings. Under Hong Kong law, dividends may only be paid out of distributable profits (that is, accumulated realized profits less accumulated realized losses) or other distributable reserves. Dividends cannot be paid out of share capital. There are no restrictions or limitations under the laws of Hong Kong imposed on the conversion of HK dollars into foreign currencies and the remittance of currencies out of Hong Kong, nor is there any restriction on foreign exchange to transfer cash between the Company and its subsidiaries, across borders and to U.S. investors, nor are there any restrictions or limitations on distributing earnings from our business and subsidiaries to the Company and U.S. investors. Under the current practice of the Inland Revenue Department of Hong Kong, no tax is payable in Hong Kong in respect of dividends paid by us.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is no assurance that we will be able to declare or distribute any dividend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Hong Kong legal system embodies uncertainties which could limit the availability of legal protections.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Hong Kong is a Special Administrative Region of the PRC and enjoys a high degree of autonomy under the “one country, two systems” principle. The Hong Kong Special Administrative Region’s constitutional document, the Basic Law, ensures that the current political situation will remain in effect for 50 years. Hong Kong has enjoyed the freedom to function in a high degree of autonomy for its affairs, including currencies, immigration and custom, independent judiciary system and parliamentary system. However, we cannot guarantee that the implementation of the “one country, two systems” principle and the level of autonomy as currently in place will continue in the future. Any changes in the state of political environment in Hong Kong may materially and adversely affect our business and operation.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process, enforcing foreign judgments or bringing actions in Hong Kong against us or our management named in this prospectus based on foreign laws.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Etoiles Cayman is incorporated under the laws of the Cayman Islands, but all of our operations and assets are held by our Hong Kong Operating Subsidiary and Etoiles Financial in Hong Kong. In addition, a majority of our senior executive officers and directors, including Mr. Kit Shing, CHEUNG, Mr. Hon Fai, TAM, Mr. Zhihan, LOU, Ms. Qi, DING and Mr. Yeung Tak, CHEN, reside within Hong Kong for a significant portion of the time, while Mr. Raj K, THAKAR resides outside Hong Kong in the U.S.. As a result, it may be difficult or impossible for investors to effect service of process on us inside Hong Kong. It may also be difficult for you to enforce in U.S. courts judgments obtained in U.S. courts based on the civil liability provisions of the U.S. federal securities laws against us and our officers and directors. Moreover, there is uncertainty as to whether the courts of the Hong Kong would recognize or enforce judgments of U.S. courts against us or such persons predicated upon the civil liability provisions of the securities laws of the United States or any state.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David Fong &amp; Co., Solicitors, our counsel as to Hong Kong law, has advised us that there is currently no arrangement providing for the reciprocal enforcement of judgements between Hong Kong and the United States, as such judgments of United States courts will not be directly enforced in Hong Kong. However, under common law, a foreign judgment (including one from federal or state court in the United States) obtained against the Company may generally be treated by the courts of Hong Kong as a cause of action in itself and sued upon as a debt between the parties. In a common law action for enforcement of a foreign judgment, the judgment creditor has to prove that (i) the judgment is </w:t>
      </w:r>
      <w:r>
        <w:rPr>
          <w:rFonts w:ascii="Times New Roman" w:cs="Times New Roman" w:eastAsia="Times New Roman" w:hAnsi="Times New Roman"/>
          <w:sz w:val="18"/>
          <w:szCs w:val="18"/>
          <w:i w:val="1"/>
          <w:iCs w:val="1"/>
          <w:color w:val="auto"/>
        </w:rPr>
        <w:t>in personal</w:t>
      </w:r>
      <w:r>
        <w:rPr>
          <w:rFonts w:ascii="Times New Roman" w:cs="Times New Roman" w:eastAsia="Times New Roman" w:hAnsi="Times New Roman"/>
          <w:sz w:val="18"/>
          <w:szCs w:val="18"/>
          <w:color w:val="auto"/>
        </w:rPr>
        <w:t>; (ii) the judgment is in the nature of a monetary award; (iii) the judgment is final and conclusive on the merits and has not been stayed or satisfied in full; and (iv) the judgement is from a court of competent jurisdiction. The defenses available to the defendant in a common law action for enforcement of a foreign judgment include breach of natural justice, fraud and contrary to public policy of Hong Kong. In order to enforce the foreign judgment at common law, fresh proceedings must be initiated in Hong Kong, which involves issuing a Writ of Summons and Statement of Claim attaching the foreign judgment as proof of the debt.</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AHFCA Act was enacted on December 23, 2022. On December 29, 2022,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 The AHFCA Act states that if the SEC determines that an issuer has filed audit reports issued by a registered public accounting firm that has not been subject to inspection by the PCAOB for two consecutive years, the SEC shall prohibit the securities of the issuer from being traded on a national securities exchange or in the over-the-counter trading market in the United States (the applicable period under the HFCA Act prior to the enactment of the AHFCA Act had been two years).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24, 2021, the SEC adopted interim final rules relating to the implementation of certain disclosure and documentation requirements of the HFCA Act. A company will be required to comply with these rules if the SEC identifies it as having a “non-inspection” year under a process to be subsequently established by the SEC. The SEC is assessing how to implement other requirements of the HFCA Act, including the listing and trading prohibition requirements described above. On December 2, 2021, the SEC adopted final amendments implementing the disclosure and submission requirements of the HFCA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June 22, 2021, the U.S. Senate passed a bill which, if passed by the U.S. House of Representatives and signed into law, would reduce the number of consecutive non-inspection years required for triggering the prohibitions under the HFCA Act from three years to two years.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5, 2021, the PCAOB approved a new rule, PCAOB Rule 6100, Board Determinations Under the HFCA Act to provide a framework for its determinations under the HFCA Act that the PCAOB is unable to inspect or investigate completely registered public accounting firms located in a foreign jurisdiction because of a position taken by one or more authorities in that jurisdiction. The rule establishes the manner of the PCAOB’s determinations; the factors the PCAOB will evaluate and the documents and information the PCAOB will consider when assessing whether a determination is warranted; the form, public availability, effective date, and duration of such determinations; and the process by which the Board will reaffirm, modify, or vacate any such determinations.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SEC adopted amendments to finalize rules implementing the submission and disclosure requirements in the HFCA Act. Also, on December 16, 2021, pursuant to the HFCA Act, the PCAOB issued a Determination Report which determined that the PCAOB is unable to inspect or investigate completely registered public accounting firms headquartered in mainland China and in Hong Kong, a Special Administrative Region of PRC, because of positions taken by PRC authorities in those jurisdictions. In addition, the PCAOB’s report identified the specific registered public accounting firms which are subject to these determinations.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continues to demand complete access in mainland China and Hong Kong moving forward and resumed regular inspections since March 2023. The PCAOB is continuingly pursuing ongoing investigations and may initiate new investigations as needed. The PCAOB has indicated that it will act immediately to consider the need to issue new determinations with the HFCA Act if needed.</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23, 2022, the AHFCA Act was enacted, which amended the HFCA Act by requiring the SEC to prohibit an issuer’s securities from trading on a national securities exchange or in the over-the-counter market in the United States if its auditor is not subject to PCAOB inspections for two consecutive years instead of three. As a result, the time period before the Company’s securities may be prohibited from trading or delisted has been decreased accordingly.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29, 2022,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auditor, SRCO, C.P.A., Professional Corporation, is an independent registered public accounting firm that issues the audit report included elsewhere in this prospectus, which is headquartered in New York and has been inspected by the PCAOB on a regular basis, with the last inspection in 2023 As an auditor of companies that are traded publicly in the United States and a firm registered with the PCAOB, it is subject to laws in the United States pursuant to which the PCAOB conducts regular inspections to assess its compliance with the applicable professional standards. Our auditor is currently subject to PCAOB inspections and PCAOB is able to inspect our auditor in relation to our U.S. listing. However, there is no assurance that future audit reports will be prepared by auditors able to be inspected by the PCAOB and therefore, in the future, you may be deprived of the benefits of such inspection. As such, trading in our securities may be prohibited under the HFCA Act if the PCAOB determines that it cannot inspect or investigate completely our auditor, and as a result our securities may be delisted. However, should PRC authorities obstruct or otherwise fail to facilitate the PCAOB’s access in the future which would prevent the PCAOB from continuing to inspect or investigate completely accounting firms headquartered in mainland China or Hong Kong, the PCAOB Board will consider the need to issue a new determination. Our securities may be delisted or prohibited from trading if the PCAOB determines that it cannot inspect or investigate completely our auditor under the HFCA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are substantial uncertainties regarding the interpretation and application of PRC laws and regulations. The PRC legal system is based on written statutes and their legal interpretations by the Standing Committee of the National People’s Congress, or NPCSC. Previous court decisions may be cited for reference but have limited precedential value. Since 1979, the PRC government has been developing a comprehensive system of commercial laws, and considerable progress has been made in introducing laws and regulations dealing with economic matters such as foreign investment, corporate organization and governance, commerce, taxation and trade. However, as these laws and regulations are relatively new, and due to the limited volume of published cases and their non-binding nature, interpretation and enforcement of these laws and regulations involve uncertainties. These laws and regulations are sometimes vague and may be subject to future changes, and their official interpretation and enforcement could be unpredictable, with little advance notice which could result in a material change in our operations and/or the value of our Class A Ordinary Shares. It is also uncertain whether having a majority of our directors and officers located in Hong Kong will subject us to the oversight of the Chinese authorities in the future.</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may intervene or influence our operations at any time, which could result in a material change in our operations and/or the value of the securities we are registering for sale.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Etoiles Cayman is a holding company and we conduct our operations through our Hong Kong Operating Subsidiary in Hong Kong. Etoiles Financial, our other Hong Kong subsidiary, has no operation on its own. The PRC government may choose to exercise significant oversight and discretion, and the regulations to which we are subject may change rapidly and with little notice to us or our shareholders. As a result, the application, interpretation, and enforcement of new and existing laws and regulations in mainland China are often uncertain. In addition, these laws and regulations may be interpreted and applied inconsistently by different agencies or authorities, and inconsistently with our current policies and practices. New laws, regulations, and other government directives in mainland China may also be costly to comply with, and such compliance or any associated inquiries or investigations or any other government actions may:</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remedies, administrative penalties and even criminal liabilities that may harm our business, including fines assessed for our current or historical operations, or demands or orders that we modify or even cease our business practices.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promulgation of new laws or regulations, or the new interpretation of existing laws and regulations, in each case that restrict or otherwise unfavorably impact the ability or manner in which we conduct our business could require us to change certain aspects of our business to ensure compliance, which could decrease demand for our products, increase costs, require us to obtain more licenses, permits, approvals or certificates, or subject us to additional liabilities. To the extent any new or more stringent measures are required to be implemented and if the PRC government chooses to exercise such significant oversight and discretion over the conduct of our business and may intervene or influence or control our operations at any time. Such government actions could result in a material change in our operations and/or the value of the securities we are registering for sale; could significantly limit or completely hinder our ability to continue our operations; could significantly limit or completely hinder our ability to offer or continue to offer our securities to investors; and may cause the value of our securities to significantly decline or be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actions by the PRC government to exert more oversight and control over offerings that are conducted overseas and/or foreign investment in China-based issuers, such actions could significantly limit or completely hinder our ability to offer or continue to offer securities to investors and cause the value of such securities to significantly decline or become worthless.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Previous statements by the PRC government have indicated an intent to exert more exert oversight and control over offerings that are conducted overseas and/or foreign investments in China based issuers. On December 28, 2021, the CAC, the NDRC and several other administrations jointly adopted and published the New Measures for Cybersecurity Review (2021 version) (“New Measures”), which came into effect on February 15, 2022. According to the New Measures, if an “operator of critical information infrastructure” or “network platform operator” that is in possession of personal data of more than one million users intends to list in a foreign country, it must apply for a cybersecurity review. Our business belongs to the electronic components/sensors industry, which does not involve the collection of user data, implicate cybersecurity, or involve any other type of restricted industry. As a result, the likelihood of us being subject to the review of the CAC is remote.</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According to the Trial Measures, together with the Guidance Rules and Notice, a domestic company in the PRC that seeks to offer and list securities on overseas markets shall fulfill the filing procedures with the CSRC as per requirement of the Trial Measures within 3 working days after the relevant application is submitted overseas. The Trial Measures also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In light of the foregoing, based on the opinion of our PRC Counsel, we believe that the listing of our Class A Ordinary Shares on Nasdaq does not constitute an “indirect overseas offering and listing by PRC domestic companies” and that we are not required to complete the filing procedures as stipulated by the Trial Measures because the Company did not obtain any operating revenue, total profit, total assets and net assets in mainland China,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our management’s internal assessment and on the opinion of our PRC counsel, the Company and its subsidiaries currently have no operations in the mainland China, our management understands that as of the date of this prospectus, the Company is not required to obtain any permissions or approvals from PRC authorities before listing in the U.S. and to issue our Ordinary Shares to foreign investors, including the CAC or the CSRC because (i) the CSRC currently has not issued any definitive rule or interpretation concerning whether offerings like ours under this prospectus are subject to this regulation; and (ii) we operate in Hong Kong and is not included in the categories of industries and companies whose foreign securities offerings are subject to review by the CSRC or the CAC. We also understand that Etoiles Financial and Etoiles Consultancy are not required to obtain any permissions or approvals from any Chinese authorities to operate their businesses as of the date of this prospectus. No permissions or approvals have been applied for by the Company or denied by any relevant authorities. However, uncertainties still exist, due to the possibility that laws, regulations, or policies in the PRC could change rapidly in the future. The promulgation of new laws or regulations, or the new interpretation of existing laws and regulations may restrict or otherwise unfavorably impact our ability or way to conduct business and may require us to change certain aspects of our business to ensure compliance, which could decrease demand for our services, reduce revenues, increase costs, require us to obtain more licenses, permits, approvals or certificates, or subject us to additional liabilities.</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event that (i) the PRC government expands the categories of industries and companies whose foreign securities offerings are subject to review by the CSRC or the CAC that we are required to obtain such permissions or approvals; or (ii) we inadvertently concluded that relevant permissions or approvals were not required or that we did not receive or maintain relevant permissions or approvals required, any action taken by the PRC government could significantly limit or completely hinder our operations, significantly limit or completely hinder our ability to offer our Class A Ordinary Shares to investors and cause the value of such Class A Ordinary Shares to significantly decline or become worthless.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light of recent events indicating greater oversight by the Cyberspace Administration of China over data security, particularly for companies seeking to list on a foreign exchange, we may be subject to a variety of PRC laws and other obligations regarding data protection and any other rules, and any failure to comply with applicable laws and obligations could have a material and adverse effect on our business and the Offering.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located in Hong Kong. Our Hong Kong Operating Subsidiary and Etoiles Financial may collect and store certain data (including certain personal information) from our clients for “Know Your Customers” purposes, who may be PRC individuals. As such, we may be subject to PRC laws relating to the collection, use, sharing, retention, security, and transfer of confidential and private information, such as personal information and other data. These laws apply not only to third party transactions, but also other parties with which we have commercial relations. These laws continue to develop, and the PRC government may adopt other rules and restrictions in the future. Non-compliance could result in penalties or other significant legal liabilities.</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PRC regulatory requirements regarding cybersecurity are evolving. For instance, various regulatory bodies in the PRC, including the CAC, the Ministry of Public Security, and the SAMR, have enforced data privacy and protection laws and regulations with varying and evolving standards and interpretations. The Cybersecurity Law, which was adopted by the National People’s Congress on November 7, 2016, and the New Measures, which came into effect on February 15, 2022, provide that personal information and important data collected and generated by a critical information infrastructure operator in the course of its operations in China must be stored in China, and if a critical information infrastructure operator purchases internet products and services that affect or may affect national security, it will be subject to cybersecurity review by the CAC. On June 10, 2021, the NPCSC promulgated the Data Security Law, which took effect on September 1, 2021. The Data Security Law requires that data shall not be collected by theft or other illegal means, and also provides for a data classification and hierarchical protection system. The data classification and hierarchical protection system puts data into different groups according to its importance in economic and social development, and the damages it may cause to national security, public interests, or the legitimate rights and interests of individuals and organizations in case the data is falsified, damaged, disclosed, illegally obtained or illegally used. If any of our data processing activities conducted after the Data Security Law became effective were found to be not in compliance with this law, we could be ordered to make corrections, and under certain serious circumstances, such as severe data divulgence, we could be subject to penalties, including the revocation of our business licenses or other permits. Furthermore, the recently issued Opinions on Strictly Cracking Down Illegal Securities Activities in Accordance with the Law require (i) speeding up the revision of the provisions on strengthening the confidentiality and archives management relating to overseas issuance and listing of securities and (ii) improving the laws and regulations relating to data security, cross-border data flow, and management of confidential information. As there remain uncertainties regarding the further interpretation and implementation of those laws and regulations, we cannot assure you that we will be compliant such new regulations in all respects, and we may be ordered to rectify and terminate any actions that are deemed illegal by the regulatory authorities and become subject to fines and other sanctions.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Based on the opinion of our PRC Counsel, the Management understands that as of the date of this prospectus, we are not required to obtain any permissions or approvals by including the CSRC, CAC or any other PRC authorities for our operations or issue our Class A Ordinary Shares including the Class A Ordinary Shares being registered for sale to foreign investors under existing PRC laws and regulations, and have not received any requirement or were denied such permissions or approvals by any PRC authorities. According to the New Measures, if an “operator of critical information infrastructure” or “network platform operator” that is in possession of personal data of more than one million users intends to list in a foreign country, it must apply for a cybersecurity review. The New Measures further elaborates the factors to be considered when assessing the national security risks of the relevant activities, including, among others, (i) the risk of core data, important data or a large amount of personal information being stolen, leaked, destroyed, and illegally used or exited the country; and (ii) the risk of critical information infrastructure, core data, important data or a large amount of personal information being affected, controlled, or maliciously used by foreign governments after listing abroad. As of the date of this prospectus, neither the Company nor its Hong Kong Operating Subsidiary and Etoiles Financial possess a large amount of personal information in their business operations or is recognized as an “operator of critical information infrastructure” by any authentic authority. Therefore, we do not believe that our Hong Kong Operating Subsidiary and Etoiles Financial are deemed to be an “operator of critical information infrastructure,” or “network platform operator” controlling personal information of no less than one million users. We are required to collect and retain some basic information furnished by our clients, suppliers and employees in accordance with prevailing business practices, but we do not handle a large amount of personal and confidential data in the ordinary course of business. As of the date of this prospectus, we have not been involved in any investigations on cybersecurity or data security initiated by related governmental regulatory authorities, and we have not received any inquiry, notice, warning, or sanction in such respect. Based on the opinion of our PRC Counsel, our Hong Kong Operating Subsidiary and Etoiles Financial are not required to receive any necessary permissions from PRC authorities to operate its current business in Hong Kong or issue shares to foreign investors.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However, given the recent events indicating greater oversight by the CAC over data security, particularly for companies seeking to list on a foreign exchange, it remains uncertain as to how the New Measures will be interpreted or implemented. There remains significant uncertainty as to the enactment, interpretation and implementation of regulatory requirements related to current and future PRC laws, overseas securities offerings and other capital markets activities. PRC regulatory agencies, including the CAC, may adopt new laws, regulations, rules, or detailed implementation and interpretation related to the New Measures. They may also take actions requiring us, or making it advisable for us, to halt this Offering before the settlement and delivery of the Class A Ordinary Shares that we are offering. If any such new laws, regulations, rules, or implementation and interpretation come into effect, we expect to take all reasonable measures and actions to comply therewith. In the event of a failure to comply, we may be required to suspend our relevant businesses and become subject to fines and other penalties. If the CAC or other PRC regulatory agencies later promulgate new rules or explanations requiring that we obtain their approvals for this Offering and any follow-on offering, we may be unable to obtain such approvals, which could significantly limit or completely hinder our ability to offer or continue to offer securities to our investors.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obtain approval from PRC authorities to list on overseas stock exchanges in the future.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2006 and amended in 2009, require CSRC approval for a listing involving offshore special purchase vehicles that are controlled by PRC entities or individuals and that have been formed for overseas listing purposes through acquisitions of PRC domestic interests held by such PRC entities or individuals with shares of the offshore special purchase vehicles. Based on our understanding of the current PRC laws and regulations, we will not be required to submit an application to the CSRC for the approval of the Offering and trading of our Class A Ordinary Shares under the M&amp;A Rules because</w:t>
      </w:r>
    </w:p>
    <w:p>
      <w:pPr>
        <w:spacing w:after="0" w:line="3" w:lineRule="exact"/>
        <w:rPr>
          <w:sz w:val="20"/>
          <w:szCs w:val="20"/>
          <w:color w:val="auto"/>
        </w:rPr>
      </w:pPr>
    </w:p>
    <w:p>
      <w:pPr>
        <w:jc w:val="both"/>
        <w:ind w:firstLine="8"/>
        <w:spacing w:after="0" w:line="252" w:lineRule="auto"/>
        <w:tabs>
          <w:tab w:leader="none" w:pos="2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Hong Kong Operating Subsidiary and Etoiles Financial were not established through a merger or requisition of the equity or assets of a “PRC domestic company” as such term is defined under the M&amp;A Rules, (ii) our Hong Kong Operating Subsidiary and Etoiles Financial are non-mainland China entities, and they have not been controlled by a non-PRC persons since its incorporation, and (iii) the CSRC currently has not issued any definitive rule or interpretation concerning whether an offering like ours under this document is subject to this regulation. However, uncertainties still exist as to how the M&amp;A Rules will be interpreted or implemented, and is subject to any new laws, rules, and regulations or detailed implementations and interpretations in any form relating to the M&amp;A Rules. We may be required to obtain approval from PRC authorities in order to continue our listing on Nasdaq or to add new listings on other overseas stock exchanges in the future but cannot provide assurance that we will be able to obtain such approval.</w:t>
      </w:r>
    </w:p>
    <w:p>
      <w:pPr>
        <w:spacing w:after="0" w:line="1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a follow-up, 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According to the Trial Measures, together with the Guidance Rules and Notice, a domestic company in the PRC that seeks to offer and list securities on overseas markets shall fulfill the filing procedures with the CSRC as per requirement of the Trial Measures within 3 working days after the relevant application is submitted overseas. The Trial Measures also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opinion of our PRC Counsel, the management understand that the listing of our Class A Ordinary Shares on Nasdaq does not constitute an “indirect overseas offering and listing by PRC domestic companies” and that we are not required to complete the filing procedures as stipulated by the Trial Measures the Company did not obtain any operating revenue, total profit, total assets and net assets in mainland China,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 If CSRC approval is required, it is uncertain whether we can or how long it will take us to obtain the approval and, even if we obtain such CSRC approval, such CSRC approval could be rescinded. We cannot assure you that relevant PRC government authorities, including the CSRC, would reach the same conclusion as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international trade policies, trade disputes, barriers to trade, or the emergence of a trade war may dampen growth in China.</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Political events, international trade disputes, and other business interruptions could harm or disrupt international commerce and the global economy, and could have a material adverse effect on us and our clients, contract manufacturers, material vendors, and other partners. International trade disputes could result in tariffs and other protectionist measures which may materially and adversely affect our business.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have also been concerns about the relationship between the PRC and other countries, including the surrounding Asian countries, which may potentially have economic effects. In particular, there is significant uncertainty about the future relationship between the United States and the PRC with respect to trade policies, treaties, government regulations and tariffs. Economic conditions in China are sensitive to global economic conditions, as well as changes in domestic economic and political policies and the expected or perceived overall economic growth rate in China.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Political uncertainty surrounding international trade disputes and the potential of the escalation to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clients, and we cannot provide any assurances as to whether such actions will occur or the form that they may take.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mainland China political, economic and governmental policies may have an adverse impact on our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expect that revenue received from mainland China will continue to supplement our overall operations. Accordingly, our business, financial condition and results of operations are subject to political, economic and legal developments in China to a significant degree. The Chinese economy differs from the economies of most developed countries in many aspects, including the extent of government involvement, growth rate, control of the foreign exchange, allocation of resources and capital investment. We cannot assure there will not be any unfavorable changes in the political, economic and governmental policies and measures promulgated by the PRC government that could impact the industries in which we operate, which could in turn diminish the demand for our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a circular, known as SAT Circular 82, partially abolished on December 29, 2017,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w:t>
      </w:r>
    </w:p>
    <w:p>
      <w:pPr>
        <w:spacing w:after="0" w:line="5" w:lineRule="exact"/>
        <w:rPr>
          <w:sz w:val="20"/>
          <w:szCs w:val="20"/>
          <w:color w:val="auto"/>
        </w:rPr>
      </w:pPr>
    </w:p>
    <w:p>
      <w:pPr>
        <w:jc w:val="both"/>
        <w:ind w:firstLine="8"/>
        <w:spacing w:after="0" w:line="253" w:lineRule="auto"/>
        <w:tabs>
          <w:tab w:leader="none" w:pos="2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as a Cayman Islands exempted company, Etoiles Cayman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would be subject to PRC enterprise income on our worldwide income at the rate of 25%. Furthermore, we would be required to withhold a 10% tax from dividends we pay to our shareholders that are non-resident enterprises, including the holders of our Class A Ordinary Shares. In addition, non-resident enterprise shareholders may be subject to PRC tax on gains realized on the sale or other disposition of the Class A Ordinary Shares, if such income is treated as sourced from within the PRC. Furthermore, if we are deemed a PRC resident enterprise, dividends paid to our non-PRC individual shareholders and any gain realized on the transfer of the Class A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Class A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Class A Ordinary Shares in our offshore subsidiaries and investments. Our company may be subject to filing obligations or may be taxed if our company is a transferor in such transactions, and may be subject to withholding obligations if our company is a transferee in such transactions, under SAT Bulletin 7 and/or SAT Bulletin 37. For transfers of Class A Ordinary Shares of our company by investors who are non-PRC resident enterprises, our Hong Kong Operating Subsidiary and Etoiles Financial will not be requested to assist in the filing under SAT Bulletin 7 and/or SAT Bulletin 37. However, if our assessment on the filing under SAT Bulletin 7 and/or SAT Bulletin 37 is incorrect, we may be required to expend valuable resources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Ordinary Shares may not develop and could affect the trading price of our Class A Ordinary Shares.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have received the approval letter to have our Class A Ordinary Shares listed on the Nasdaq Capital Market under the symbol “EFTY.”, there can be no assurance that there will be an active, liquid public market for our Class A Ordinary Shares. The lack of an active market may impair your ability to sell your Class A Ordinary Shares at the time you wish to sell them or at a price that you consider reasonable. The lack of an active market may also reduce the fair market value of your Class A Ordinary Shares. An inactive market may also impair our ability to raise capital to continue to fund operations by selling Class A Ordinary Shares and may impair our ability to acquire other companies or technologies by using our Class A Ordinary Shares as consideration. The initial public offering price was determined by negotiations between us and the underwriters and may not be indicative of the future prices of our Class A Ordinary Shares..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you may lose all or part of your investment. Such rapid and substantial price volatility, including any stock run-up, may be unrelated to our actual or expected operating performance and financial condition or prospects, making it difficult for prospective investors to assess the rapidly changing value of our Class A Ordinary Shares.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mentioned above, the initial public offering price for our Class A Ordinary Shares will be determined by negotiations between us and representatives of the underwriters based on several factors. This price may vary from the market price of our Class A Ordinary Shares after this Offering and the price for our Class A Ordinary Shares may be volatile and subject to wide fluctuations in response to factors including the following:</w:t>
      </w:r>
    </w:p>
    <w:p>
      <w:pPr>
        <w:spacing w:after="0" w:line="17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results of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 as well as announcements by us or our competitors of significant business developments, changes in relationships with our target customers, manufacturers or suppliers, acquisitions or expansion plans;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 as well as variance in our financial performance from the expectations of market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other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Ordinary Shares or other securities by us, our insiders or our other shareholders, or the perception that these sales may occur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estimation of the future size and growth rate of our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political conditions in the United States or elsewhere.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Class A Ordinary Shares to fluctuate substantially, regardless of our actual operating performance, which may limit or prevent investors from readily selling their Class A Ordinary Shares and may otherwise negatively affect the liquidity of our Class A Ordinary Shares. In addition, the stock market in general, and Nasdaq Capital Market and emerging growth companies in particular, have experienced extreme price and volume fluctuations that have often been unrelated or disproportionate to the operating performance of these companies. Such rapid and substantial price volatility, including any stock run-up, may be unrelated to our actual or expected operating performance and financial condition or prospects, making it difficult for prospective investors to assess the rapidly changing value of our Class A Ordinary Shares. Such broad market fluctuations, and other factors (such as variations in operating results, and changes in regulations affecting us and our industry) may adversely affect the market price of our Class A Ordinary Shares, if a market for them develops.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906"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completed our initial public offering on August 11, 2025. In addition to the risk addressed above in “— Our Share price may be volatile, and you may lose all or part of your investment. Such rapid and substantial price volatility, including any stock run-up, may be unrelated to our actual or expected operating performance and financial condition or prospects, making it difficult for prospective investors to assess the rapidly changing value of our Class A Ordinary Shares,” our Class A Ordinary Shares may be subject to extreme volatility that is seemingly unrelated to the underlying 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shareholders have on the price of our Class A Ordinary Shares, which may cause our share price to deviate, potentially significantly, from a price that better reflects the underlying performance of our business. Should our Class A Ordinary Shares experience run-ups and declines that are seemingly unrelated to our actual or expected operating performance and financial condition or prospects, prospective investors may have difficulty assessing the rapidly changing value of our Class A Ordinary Shares. In addition, investors of our Class A Ordinary Shares may experience losses, which may be material, if the price of our Class A Ordinary Shares declines after this Offering or if such investors purchase shares of our Class A Ordinary Shares prior to any price decline.</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Class A Ordinary Shares. Furthermore, the potential extreme volatility may confuse the public investors of the value of our stock, distort the market perception of our stock price and our Company’s financial performance and public image and negatively affect the long-term liquidity of our Class A Ordinary Shares, regardless of our actual or expected operating performance. If we encounter such volatility, including any rapid stock price increases and declines seemingly unrelated to our actual or expected operating performance and financial condition or prospects, it will likely make it difficult and confusing for prospective investors to assess the rapidly changing value of our Class A Ordinary Shares and understand the value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our Share price may subject us to securities litigation.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for our Class A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which could result in substantial costs and liabilities and could divert management’s attention and resources.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applicable listing requirements, Nasdaq may delist our Class A Ordinary Shares from trading, in which case the liquidity and market price of our Class A Ordinary Shares could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Assuming our Class A Ordinary Shares are listed on Nasdaq, we cannot assure you that we will be able to meet the continued listing standards of Nasdaq in the future. If we fail to comply with the applicable listing standards and Nasdaq delists our Class A Ordinary Shares, we and our shareholders could face significant material adverse consequences, including</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Class A Ordinary Shares;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“penny stock”, which would require brokers trading in our Class A Ordinary Shares to adhere to more stringent rules and possibly result in a reduced level of trading activity in the secondary trading market for our Class A Ordinary Shares;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Shareholder has significant voting power and may take actions that may not be in the best interests of our other shareholders.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our Controlling Shareholder will hold an aggregate of 10,287,000 Class A Ordinary Shares and 5,000,000 Class B Ordinary Shares, respectively, which will represent an aggregate of 92.59% of the total voting power. As a result, the shareholder will be able to control the management and affairs of our Company and most matters requiring shareholder approval, including the election of directors and approval of significant corporate transactions. The interests of these shareholders may not be the same as or may even conflict with your interests. For example, the shareholder could attempt to delay or prevent a change in control of us, even if such change in control would benefit our other shareholders, which could deprive our shareholders of an opportunity to receive a premium for their Class A Ordinary Shares as part of a sale of us or our assets, and might affect the prevailing market price of our Class A Ordinary Shares due to investors’ perceptions that conflicts of interest may exist or arise. As a result, this concentration of ownership may not be in the best interests of our other shareholders.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apply additional and more stringent criteria for our initial and continued listing because we plan to have a small public offering and our insiders will hold a large portion of our listed securities.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Listing Rule 5101, Nasdaq has discretionary authority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Additionally,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w:t>
      </w:r>
    </w:p>
    <w:p>
      <w:pPr>
        <w:spacing w:after="0" w:line="1" w:lineRule="exact"/>
        <w:rPr>
          <w:sz w:val="20"/>
          <w:szCs w:val="20"/>
          <w:color w:val="auto"/>
        </w:rPr>
      </w:pPr>
    </w:p>
    <w:p>
      <w:pPr>
        <w:jc w:val="both"/>
        <w:ind w:firstLine="8"/>
        <w:spacing w:after="0" w:line="252"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planned a small public offering, which would result in insiders holding a large portion of the company’s listed securities. Nasdaq was concerned that the offering size was insufficient to establish the company’s initial valuation, and there would not be sufficient liquidity to support a public market for the company; and (iii) where the company did not demonstrate sufficient nexus to the U.S. capital market, including having no U.S. shareholders, operations, or members of the board of directors or management. Our initial public offering will be relatively small and the insiders of our company will hold a large portion of the company’s listed securities following the consummation of the IPO. Therefore, we may be subject to the additional and more stringent criteria of Nasdaq for our initial and continued listing.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immediate plans to pay dividends.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plan to reinvest all of our future earnings, to the extent we have earnings, in order to expand our product offering and to cover operating costs, finance operations and to otherwise become and remain competitive. We do not plan to pay any cash dividends with respect to our securities in the foreseeable future. As we are a company with a limited operating history, we may not be able to generate, at any time, sufficient surplus cash that would be available for distribution to the holders of our Class A Ordinary Shares as a dividend. Therefore, you should not expect to receive immediate cash dividends on the Class A Ordinary Shares we are offering. Consequently, investors may need to rely on sales of their Class A Ordinary Shares after price appreciation, which may never occur, as the only way to realize any future gains on their investment. In addition, the laws of the Cayman Islands require that certain criteria must be satisfied before we are able to declare and pay dividends.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Share price or trading volume to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 trading market for our Class A Ordinary Shares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Ordinary Shares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Share price, our Share price could decline. If one or more of these analysts cease coverage of us or fail to publish reports covering us regularly, we could lose visibility in the market, which in turn could cause our Share price or trading volume to decline and result in the loss of all or a part of your investment in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judgments against us, our directors and management.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Etoiles Cayman is incorporated under the laws of the Cayman Islands and a majority of our directors and officers reside outside the United States. Moreover, many of these persons do not have significant assets in the United States. As a result, it may be difficult or impossible to effect service of process within the United States upon these persons, or to recover against us or them on judgments of U.S. courts, including judgments predicated upon the civil liability provisions of the U.S. federal securities laws.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uncertainty as to whether the courts of the Cayman Islands would recognize or enforce judgments of U.S. courts obtained in actions against us or our directors and officers predicated upon the civil liability provisions of the U.S. federal securities laws or any securities laws of any state in the United States, or entertain original actions brought in the Cayman Islands against us or our directors and officers predicated solely upon U.S. federal securities laws or any securities laws of any state of the United States. Further, there is no treaty in effect between the United States and the Cayman Islands providing for the enforcement of judgments of U.S. courts in civil and commercial matters, and there is no statutory enforcement in the Cayman Islands of judgments obtained in the United States. Some remedies available under the laws of U.S. jurisdictions, including remedies available under the U.S. federal securities laws, may not be allowed in the Cayman Islands courts if contrary to public policy in the Cayman Islands. As a result of all of the above, it may be difficult for you to recover against us or our directors and officers based upon such judgments.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of the Cayman Islands relating to the protection of the interest of minority shareholders are different from those in the United States.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corporate affairs are governed by the Amended Memorandum and Articles (as may be amended from time to time), and by the Cayman Islands Companies Act (Revised) and common law of Cayman Islands. The rights of shareholders to take action against our directors, action by minority shareholders and the fiduciary responsibilities of our directors to us under Cayman Islands law are to a large extent governed by the common law of the Cayman Islands and the Amended Articles (as may be amended from time to time). The common law of the Cayman Islands is derived in part from comparatively limited judicial precedent in the Cayman Islands as well as from English common law, the decisions of whose courts are of persuasive authority, but are not binding, on a court in the Cayman Islands.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laws of the Cayman Islands relating to the protection of the interests of minority shareholders differ in certain respects from those established under statutes or judicial precedent in existence in the United States and other jurisdictions. Such differences may mean that the remedies available to our minority shareholders may be different from those they would have under the laws of other jurisdictions, including the United States. Potential investors should be aware that there is a risk that provisions of the Companies Act may not offer the same protection as the relevant laws and regulations in the United States may offer, and should consider obtaining independent legal advice on the implications of investing in foreign-incorporated companies.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“foreign private issuer” under the SEC rules will exempt us from the U.S. proxy rules and the more detailed and frequent Exchange Act reporting obligations applicable to a U.S. domestic public company.</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our officers, directors and principal shareholders are exempt from the reporting and “short-swing” profit recovery provisions of Section 16 of the Exchange Act and the rules thereunder. Therefore, our shareholders may not know on a timely basis when our officers, directors and principal shareholders purchase or sell our Class A Ordinary Shares.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status as a foreign private issuer under the Nasdaq rules will allow us to adopt certain home country practices in relation to corporate governance matters which may differ significantly from the Nasdaq corporate governance listing standards applicable to a U.S. domestic Nasdaq listed company.</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permitted to take advantage of certain provisions in the Nasdaq rules that allow us to follow our home country law for certain governance matters. Certain corporate governance practices in our home country, the Cayman Islands, may differ significantly from corporate governance listing standards. Currently, we do not plan to rely on any home country practices with respect to our corporate governance after we complete this Offering. Under the Nasdaq rules, we may in the future decide to use the home country practices exemption with respect to some or all of the other corporate governance rules, provided that we disclose the requirements we are not following and describe the home country practices we are following. However, if we choose to follow home country practices in the future, our shareholders may be afforded less protection than they would otherwise enjoy under the Nasdaq corporate governance listing standards applicable to U.S. domestic issuers.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as a public company that we did not incur as a private company. Compliance with U.S. laws and regulations and the Nasdaq rules increases our legal and financial compliance costs and makes some corporate activities more time-consuming and costly. As a public company, we will be required to increase the number of independent directors and adopt policies regarding internal controls and disclosure controls and procedures. We have incurred additional costs in obtaining director and officer liability insurance. In addition, we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Sarbanes-Oxley Act, as well as rules subsequently implemented by the SEC, impose various requirements on the corporate governance practices of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will remain an emerging growth company until the earlier of (i) the last day of the fiscal year (a) following the fifth anniversary of the completion of the IPO; (b) in which we have total annual gross revenue of at least US$1.235 billion; or (c) in which we are deemed to be a large accelerated filer, which means the market value of our Class A Ordinary Shares that is held by non-affiliates exceeds US$700 million as of the last business day of our most recently completed second fiscal quarter, and (ii) the date on which we have issued more than US$1.0 billion in non-convertible debt during the prior 3-year period.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 If we elect not to comply with such auditor attestation requirements, our investors may not have access to certain information they may deem important. The JOBS Act also provides an emerging growth company with the permission to delay adopting new or revised accounting standards until such time as those standards apply to private companies. We do not plan to opt-out of such exemptions afforded to an emerging growth company. As a result of this election, our financial statements may not be comparable to companies that comply with public company effective data.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reporting is not as transparent as the reporting of other companies in our industry. Such differences may prevent us from raising additional capital in the public market as and when we need it.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U.S. federal income tax purposes for any taxable year, which could result in adverse U.S. federal income tax consequences for U.S. Holders of our Class A Ordinary Shares.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“Material United States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may render our Class A Ordinary Shares ineligible for inclusion in certain stock market indices, and thus adversely affect the trading price and liquidity of our Class A Ordinary Shares.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may view as beneficial.</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dual class ordinary share structure. Our Ordinary Shares is divided into Class A Ordinary Shares and Class B Ordinary Shares. Holders of our Class A Ordinary Shares are entitled to one (1) vote per share and holders of our Class B Ordinary Shares are entitled to ten (10) votes per share. In no event shall Class A Ordinary Shares be convertible into Class B Ordinary Shares. Each Class B Ordinary Share is convertible into one fully paid Class A Ordinary Share at the option of the holder, at any time after issue and without the payment of any additional sum.</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Etoiles Zeneo Investment Limited continues to beneficially own all of our Class B Ordinary Shares. These Class B Ordinary Shares constitute approximately 24.86% of our total issued and outstanding share capital immediately after the completion of this Offering and approximately 76.79% of the aggregate voting power of our total issued and outstanding share capital immediately after the Offering due to the disparate voting powers associated with our dual-class share structure, assuming the Underwriter does not exercise the over-allotment option. As a result of the dual-class share structure and the concentration of ownership, holders of Class B Ordinary Shares will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Class A Ordinary Shares.</w:t>
      </w:r>
    </w:p>
    <w:p>
      <w:pPr>
        <w:spacing w:after="0" w:line="18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tax advisors regarding the impact of our being a PFIC in any taxable year on your investment in our Class A Ordinary Shares as well as the application of the PFIC rules.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prospectus.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spacing w:after="0" w:line="18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and operating results, including revenues, income, expenditures, cash balances and other financial items;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expansion and acquisition strategies, including our ability to meet our goals;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economic and political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services and the products and services we assist the distributions 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client base;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 and our ability to raise any additional financing which we may require;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industry and market performance;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assumptions described in this prospectus underlying or relating to any forward-looking statements.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describe material risks, uncertainties and assumptions that could affect our business, including our financial condition and results of operations, under “Risk Factors.” 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under the federal securities laws, we do not have any intention or obligation to update publicly any forward-looking statements after the distribution of this prospectus, whether as a result of new information, future events, changes in assumptions,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Industry Data and Forecasts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industry publications through publicly available sources. Statistical data in these publications may include projections based on a number of assumptions. Our industry may not grow at the rate projected by market data, or at all. Failure of this industry to grow at the projected rate may have a material and adverse effect on our business and the market price of our Class A Ordinary Shares. In addition, the new and rapidly changing nature of the integrated investor relation industry, especially the increase in online activities among players at different stages of the production chain results in significant uncertainties for any projections or estimates relating to the growth prospects or future condition of our operations.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Class A Ordinary Shares by the Selling Shareholders.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and up to the date of this prospectus, no transfers, dividends or distributions have been made by Etoiles Cayman, Zynergy BVI, Etoiles Consultancy and Etoiles Financial. We intend to retain all available funds and future earnings, if any, for operation and business development, however, we may pay dividends on our Class A Ordinary Shares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declaration, amount and payment of any future dividends will be at the sole discretion of our board of directors, subject to compliance with applicable Cayman Islands laws regarding solvency. Our board of directors will take into account general economic and business conditions, our financial condition and results of operations, our available cash and current and anticipated cash needs, capital requirements, contractual, legal, tax and regulatory restrictions and other implications on the payment of dividends by us to our shareholders or by our subsidiaries to us, and such other factors as our board of directors may deem relevant. In addition, our shareholders may by ordinary resolution declare a dividend, but no dividend may exceed the amount recommended by our board of directors.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our board of directors may authorize payment of a dividend to shareholders at such time and of such an amount out of profits or our share premium account, if shares have been issued at a premium. No dividend may be paid out of our share premium account unless immediately following the payment we are able to pay our debts as they fall due in the ordinary course of business. Subject to compliance with applicable solvency requirements, there is no further Cayman Islands statutory restriction on the amount of funds which may be distributed by us by dividend.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are a holding company, we rely on dividends paid to us by our subsidiaries for our cash requirements, including funds to pay any dividends and other cash distributions to our shareholders, service any debt we may incur and pay our operating expenses. Our ability to pay dividends to our shareholders will depend on, among other things, the availability of dividends from our Hong Kong Operating Subsidiary and Etoiles Financial.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dividends, if any, on our Class A Ordinary Shares will be paid in U.S. dollars or HK Dollar.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an exempted company, we are not subject to any income, withholding or capital gains taxes in the Cayman Islands. Our shareholders will not be subject to any income, withholding or capital gains taxes in the Cayman Islands with respect to their shares and dividends received on those shares, nor will they be subject to any estate or inheritance taxes in the Cayman Islands.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prospectus. This discussion and analysis and other parts of this prospectus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on September 13, 2024, as a holding company. Our business operations are conducted through our indirect wholly-owned Hong Kong subsidiary, Etoiles Consultancy. We also own Etoiles Financial, a company with no material operations of its own and mainly used to handle administrative expense.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as a single-segment business, specializing in integrated investor relations services in Hong Kong.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investor relations services encompass a comprehensive range of offerings tailored to meet the needs of our clients.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Public Relations Management involves assisting clients in enhancing their corporate image by developing strategic promotional plans, preparing corporate presentations and investor materials, and designing investor relations websites. Our Hong Kong Operating Subsidiary also creates advertising strategies and publicity materials to strengthen brand visibility. Additionally, our Hong Kong Operating Subsidiary provides support for key corporate events, including roadshows, press conferences, corporate ceremonies, and media interviews. In times of crisis, we assist in managing communication and reputation risks effectively.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Investor Relations Management focuses on strengthening relationships between our clients and their investors. Our Hong Kong Operating Subsidiary assists in drafting investor relations media documents, coordinating shareholder meetings and press conferences, and helping clients identify and engage with their shareholders to foster better investor communication and transparency.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Tailored Due Diligence Services are designed to support clients in evaluating specific investment or acquisition targets worldwide. Our Hong Kong Operating Subsidiary’s services include reviewing statutory records, conducting site visits, and preparing detailed due diligence reports to facilitate informed decision-making.</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these core services, our Hong Kong Operating Subsidiary offers Value-Added Services such as website design enhancements and the production of high-quality promotional videos, ensuring that our clients maintain a strong and compelling presence in the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through our Hong Kong Operating Subsidiary, have achieved significant growth in our business. For each of the fiscal years ended December 31, 2024 and 2023, our total revenue was approximately $2.5 million and $0.1 million, respectively. The number of clients with revenue contribution to us was 1 for the fiscal year ended December 31, 2023 and 22 for the fiscal year ended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Key Factors That Affect Operating Results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financial performance is influenced by several key factors, which may impact our revenue, profitability, and overall business operations. These factors include: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Market Conditions of the Capital Markets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success of our investor relations services is closely tied to the overall health of the capital markets, particularly in Hong Kong and the U.S., where most of our clients operate. Market volatility, changes in investor sentiment, economic downturns, and fluctuations in IPO activities can significantly affect demand for our services. A decline in capital market activities, such as fewer IPOs or decreased investor engagement, could lead to reduced client spending on investor relations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 and Compliance Requirements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regulatory landscape for publicly listed companies is continuously evolving, with changes in disclosure requirements, corporate governance practices, and investor relations guidelines. Stricter regulations or increased compliance costs may influence the scope and nature of services our clients require, which could impact our revenue streams. Additionally, regulatory uncertainties or geopolitical developments affecting capital markets may indirectly impact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Retention and Business Development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retain existing clients and attract new ones is crucial to sustaining our growth. Since many of our service engagements are project-based, client retention is not guaranteed. A decline in repeat business or increased client churn may negatively impact our financial performance. Additionally, competition within the industry may result in pricing pressures, requiring us to continuously enhance our service offerings and maintain strong client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Service Demand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Demand for investor relations services can vary based on macroeconomic trends, investor sentiment, and corporate activities such as IPOs, mergers and acquisitions, or capital raising efforts. Periods of reduced market activity may lead to lower demand for investor relations services, affecting our revenue stability. Conversely, heightened market activity can create growth opportunities, provided we can scale our operations efficiently.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Recruitment and Retention of Skilled Professionals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success relies on the expertise and experience of our professional team. The investor relations industry requires a deep understanding of financial markets, corporate communications, and regulatory compliance. Attracting, training, and retaining top talent is critical to maintaining high service quality and delivering value to our clients. Rising labor costs, talent shortages, or high employee turnover could impact our operational efficiency and client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Staffing Costs and Operational Efficiency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represent a significant portion of our operating expenses. The ability to manage labor costs while maintaining service quality is crucial to our profitability. Rising wages or increased competition for skilled professionals may put pressure on our margins. Additionally, inefficiencies in resource allocation, workflow management, or technology adoption could impact our ability to scale operations effectively.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in the Industry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investor relations industry in Hong Kong and other key markets is highly competitive, with numerous service providers offering similar solutions. Larger firms may have stronger brand recognition, extensive networks, and diversified service offerings, which could place pressure on our pricing and client acquisition strategies. Additionally, new entrants with innovative technologies may disrupt the industry landscape, necessitating continuous improvements in our service delivery.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Macroeconomic and Geopolitical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Global economic trends, trade policies, interest rate fluctuations, and geopolitical tensions may indirectly impact our business. Factors such as economic slowdowns, inflationary pressures, or financial market instability can reduce corporate budgets for investor relations services. Additionally, uncertainties arising from geopolitical events may influence investor confidence and corporate communication strategies, affecting the demand for our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Advancements and Digital Transformation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investor relations industry is increasingly adopting digital solutions, such as virtual roadshows, AI-driven investor analytics, and digital communication platforms. The pace of technological change requires us to continuously enhance our digital capabilities to remain competitive. Failure to adapt to emerging technologies or changing client preferences may limit our ability to expand our market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Years Ended December 31,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key components of our results of operations for the years ended December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December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xml:space="preserve">% </w:t>
            </w:r>
            <w:r>
              <w:rPr>
                <w:rFonts w:ascii="Times New Roman" w:cs="Times New Roman" w:eastAsia="Times New Roman" w:hAnsi="Times New Roman"/>
                <w:sz w:val="18"/>
                <w:szCs w:val="18"/>
                <w:b w:val="1"/>
                <w:bCs w:val="1"/>
                <w:color w:val="auto"/>
                <w:w w:val="99"/>
              </w:rPr>
              <w:t>of variance</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2,462,046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(534,880)</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(12,773)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(522,107)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(130,494)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(130,494)</w:t>
            </w: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(859,935)</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(15,663)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(844,272)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5,390.2%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(1,525,309)</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2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(1,496,873)</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1,000,600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965,173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(3,684)</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996,916</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961,489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(144,417)</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(141,686)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5,188.1%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852,499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32,696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819,803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revenue by geographical area for the years ended December 31, 2024 and 2023,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68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2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2,318,605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2,254,742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9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115,340</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115,340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7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91,964</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91,964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3,855.2</w:t>
            </w:r>
          </w:p>
        </w:tc>
        <w:tc>
          <w:tcPr>
            <w:tcW w:w="0" w:type="dxa"/>
            <w:vAlign w:val="bottom"/>
          </w:tcPr>
          <w:p>
            <w:pPr>
              <w:spacing w:after="0" w:line="20" w:lineRule="exact"/>
              <w:rPr>
                <w:sz w:val="1"/>
                <w:szCs w:val="1"/>
                <w:color w:val="auto"/>
              </w:rPr>
            </w:pPr>
          </w:p>
        </w:tc>
      </w:tr>
      <w:tr>
        <w:trPr>
          <w:trHeight w:val="237"/>
        </w:trPr>
        <w:tc>
          <w:tcPr>
            <w:tcW w:w="3260" w:type="dxa"/>
            <w:vAlign w:val="bottom"/>
            <w:vMerge w:val="continue"/>
          </w:tcPr>
          <w:p>
            <w:pPr>
              <w:spacing w:after="0"/>
              <w:rPr>
                <w:sz w:val="20"/>
                <w:szCs w:val="20"/>
                <w:color w:val="auto"/>
              </w:rPr>
            </w:pPr>
          </w:p>
        </w:tc>
        <w:tc>
          <w:tcPr>
            <w:tcW w:w="27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2,525,909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63,863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2,462,046</w:t>
            </w:r>
          </w:p>
        </w:tc>
        <w:tc>
          <w:tcPr>
            <w:tcW w:w="3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5" w:name="page46"/>
    <w:bookmarkEnd w:id="4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fiscal year ended December 31, 2024, our total revenue increased significantly to $2,525,909, compared to $63,863 in the previous year. This substantial growth was primarily driven by an expansion in our service offerings and a significant increase in client engagements. The majority of our revenue was generated from clients based in Hong Kong, which accounted for $2,318,605, followed by $115,340 from China and $91,964 from the United States. The increase in revenue was primarily attributable to the rising demand for investor relations services from Hong Kong-listed and U.S.-listed companies, as well as pre-IPO firms seeking advisory support.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operating expenses consist of the following:</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8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68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revenue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534,880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130,494</w:t>
            </w:r>
          </w:p>
        </w:tc>
        <w:tc>
          <w:tcPr>
            <w:tcW w:w="1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130,494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859,935</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15,663</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844,272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5,390.2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5,264.0</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1,525,309</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28,436</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1,496,873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expenses for the fiscal year ended December 31, 2024, increased to $1,525,309, compared to $28,436 in 2023. The rise in expenses was primarily due to the costs associated with business expansion, increased staffing, and higher service execution costs. Direct cost of revenue increased to $534,880, reflecting higher subcontracting and supplier fees. Selling expenses amounted to $130,494, primarily due to marketing and business development efforts, while general and administrative expenses increased to $859,935 as a result of new hires and investments in operational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mainly represents net of other income and interest expenses.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income tax expenses increased by $141,686 or 5,188.1%, from $2,731 for the year ended December 31, 2023 to $144,417 for the year ended December 31, 2024 in line with increase in taxable income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reported a net income of $852,499 for the year ended December 31, 2024, as compared to a net profit of $32,696 for the year ended December 31, 2023 as the reasons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financed our operations primarily through cash flows from operations.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approximately $1.4 million. We remain debt-free, with no outstanding bank borrowings, positioning us well to fund our ongoing operations and support future growth initiatives without leverage. As of December 31, 2024, our current assets were approximately $1.8 million, and our current liabilities were approximately $1.2 million. As of December 31, 2023, our current assets were $70,476, and our current liabilities were $38,834. Current ratio lowered from approximately 1.8 in 2023 to 1.5 in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view of the current cash and bank balances and funds generated by operating activities, we believe our Company has sufficient resources to meet the working capital needs in the next 12 months from the date the audited financial statements are issued. However, our ability to meet the liquidity and capital requirement will be subject to future economic conditions and other factors which are beyond our control.</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declare or pay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color w:val="auto"/>
        </w:rPr>
        <w:t>We intend to use the net proceeds from this Offering as follows:</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for strengthening our integrated investor relation services in Hong Kong by recruiting additional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for expanding our market presence in other international capital markets such as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for incorporate latest technology and trends into our service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for enhancing our “Etoiles” brand by increasing our marketing effort;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for general administration and working capital.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ended December 31, 2024 and 2023:</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(181,688)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1,365,965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63,945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FY2024, our net cash provided by operating activities was approximately $1.6 million, which primarily reflected cash inflow from our net income of $0.9 million adjusted for net changes in assets and liabilities of $0.7 million, which mainly represent an increase in contract liabilities of approximately $1.0 million.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FY2023, our net cash provided by operating activities was approximately $64,000, which primarily reflected cash inflow from our net income of $33,000 and net changes in assets and liabilities of approximately $31,000, which mainly represent an increase in accrued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years ended December 31, 2024 and 2023 were $75,215 and nil respectively, mainly represent cash payment for purchase of property and equipment in FY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used in financing activities was approximately $0.2 million, mainly representing payments made for deferred IPO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loss contingencies, such as legal proceedings and claims arising out of our business, that cover a wide range of matters, including, among others, government investigations and tax matters. In accordance with ASC No. 450-20, “Loss Contingencies”, we will record accruals for such loss contingencies when it is probable that a liability has been incurred and the amount of loss can be reasonably estimated.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schedule of future minimum payments under operating leases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960" w:type="dxa"/>
            <w:vAlign w:val="bottom"/>
            <w:tcBorders>
              <w:bottom w:val="single" w:sz="8" w:color="CCEEFF"/>
            </w:tcBorders>
          </w:tcPr>
          <w:p>
            <w:pPr>
              <w:spacing w:after="0"/>
              <w:rPr>
                <w:sz w:val="21"/>
                <w:szCs w:val="21"/>
                <w:color w:val="auto"/>
              </w:rPr>
            </w:pPr>
          </w:p>
        </w:tc>
        <w:tc>
          <w:tcPr>
            <w:tcW w:w="50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obligations</w:t>
            </w:r>
          </w:p>
        </w:tc>
        <w:tc>
          <w:tcPr>
            <w:tcW w:w="5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50"/>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recognized in the consolidated balance sheet</w:t>
            </w:r>
          </w:p>
        </w:tc>
        <w:tc>
          <w:tcPr>
            <w:tcW w:w="50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50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we purchased $75,215 and nil, respectively, of property and equipment respectively, mainly for use in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(“U.S. GAAP”), requires management to make estimates and assumptions that affect the reported amounts of assets and liabilities, disclosure of contingent assets and liabilities at the date of the audited consolidated financial statements and the reported amounts of revenues and expenses during the reporting periods. Management makes these estimates using the best information available when the calculations are made; however, actual results could differ materially from those estimates.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are the key assumptions concerning the future, and other key sources of estimation uncertainty at the end of the reporting period, that may have a significant risk of causing a material adjustment to the carrying amounts of assets and liabilities within the next financial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trade receivables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management estimates the amount of lifetime ECL of trade receivables based on provision matrix through grouping of various debtors that have similar credit risk characteristics based on nature and industry of debtors. Internal credit rating has been given to each category of debtors after considering aging, historical observed default rates, repayment history and past due status of respective trade receivables. Estimated loss rates are based on probability of default and loss given default with reference to an external credit report and are adjusted for forward-looking information that is reasonable and supportable available without undue cost or effort. In addition, trade receivables that are credit-impaired are assessed for ECL individually. The credit loss allowance amount of the credit-impaired trade receivables is measured as the difference between the asset’s carrying amount and the present value of estimated future cash flows with the consideration of expected future credit losses. At every reporting date, the historical observed default rates are reassessed and changes in the forward-looking information are considered.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including cash and cash equivalents, accounts and other receivables, accrued liabilities, amounts due from (to) related parties and lease liabilities, have carrying amounts that approximate their fair values due to their short maturities. ASC Topic 820, “Fair Value Measurements and Disclosures” requires disclosing the fair value of financial instruments held by the Company. ASC Topic 825, “Financial Instruments” defines fair value and establishes a three-level valuation hierarchy for disclosures of fair value measurement that enhances disclosure requirements for fair value measures. The carrying amounts reported in the audited consolidated balance sheets for cash and cash equivalents, accounts and other receivables, accrued liabilities and amounts due from (to) related parties each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spacing w:after="0" w:line="19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used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analyzes all financial instruments with features of both liabilities and equity under ASC 480, “Distinguishing Liabilities from Equity” and ASC 815, “Derivatives and Hedging”.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January 1, 2023, the Company adopted ASU 2016-02, “Leases” (Topic 842), and elected the practical expedients that do not require us to reassess: (1) whether any expired or existing contracts are, or contain, leases, (2) lease classification for any expired or existing leases and (3) initial direct costs for any expired or existing leases. For lease terms of twelve months or fewer, a lessee is permitted to make an accounting policy election not to recognize lease assets and liabilities. The Company also adopted the practical expedient that allows lessees to treat the lease and non-lease components of a lease as a single lease component.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Lease terms used to calculate the present value of lease payments generally do not include any options to extend, renew, or terminate the lease, as the Company does not have reasonable certainty at lease inception that these options will be exercised. The Company generally considers the economic life of its operating lease ROU assets to be comparable to the useful life of similar owned assets. The Company has elected the short-term lease exception, therefore operating lease ROU assets and liabilities do not include leases with a lease term of twelve months or less. Its leases generally do not provide a residual guarantee. The operating lease ROU asset also excludes lease incentives. Lease expense is recognized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and 2023, there were $53,418 and nil right of use (“ROU”) assets and $53,418 and nil lease liabilities based on the present value of the future minimum rental payments of leases, respectively. The Company’s management believes that using an incremental borrowing rate of the Hong Kong Dollar Prime lending Rate 5.25% p.a. (2023: nil) was the most indicative rate of the Company’s borrowing cost for the calculation of the present value of the lease payments; the rate used by the Company was 5.25% (2023: nil).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Effective January 1, 2023, the Company adopted ASC 606 “Revenue from Contracts with Customers”, which replaced ASC Topic 605, using the modified retrospective method of adoption. Results for reporting periods beginning after January 1, 2023 are presented under ASC Topic 606 while prior period amounts are not adjusted and continue to be presented under the Company’s historic accounting under ASC Topic 605. The Company’s accounting for revenue remains substantially unchanged. There were no cumulative effect adjustments for service contracts in place prior to January 1, 2023. The effect from the adoption of ASC Topic 606 was not material to the Company’s consolidated financial statements.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five-step model defined by ASC Topic 606 requires the Company to:</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contracts with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performance obligations under those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prices of those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prices to its performance obligations in those contracts;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services are transferred to the client in an amount that reflects the consideration expected in exchange for those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its customers that outline the rights, responsibilities, and obligations of each party in the invoices. The invoices also identify the scope of services, service fees, and payment terms. Invoices are acknowledged and accepted by both parties. All the contracts have commercial substance, and it is probable that the Company will collect considerations from its customers for service component.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Principal vs. Agent Considerations under ASC 606</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ASC 606, the Company has evaluated whether it acts as a principal or an agent in its revenue transactions. The distinction is crucial as it affects how revenue is recognized:</w:t>
      </w:r>
    </w:p>
    <w:p>
      <w:pPr>
        <w:spacing w:after="0" w:line="162"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The Company acts as the principal if it controls the specified goods or services before they are transferred to the customer. As a principal, the Company recognizes revenue for the gross amount of consideration expected from the customer.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The Company acts as an agent if it facilitates the provision of goods or services by another party. As an agent, revenue is recognized as the net amount of the fee or commission earned for arranging the goods or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all the revenue types described below, the Company has determined that it acts as the principal. This conclusion is based on the Company’s control over the goods or services before they are transferred to the customer, its primary responsibility for fulfilling the contract, its exclusive right to select service providers, and its discretion in establishing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cost of revenue for the Group primarily comprises subcontracting fees and salaries directly related to revenue generation.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represents trade accounts due from customers. The trade receivables are all without customer collateral and interest is not accrued on past due accounts.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Account balances are charged off against the allowance after all means of collection have been exhausted and the likelihood of collection is not probable. As of December 31, 2024 and 2023, the Company didn’t provide any allowance for doubtful accounts for accounts receivable.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ASU No. 2016-13, Financial Instruments — Credit Losses (Topic 326): Measurement of Credit Losses on Financial Instruments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The Company adopted the new standard effective January 1, 2023, the first day of the Company’s fiscal year and applied to accounts receivable and other financial instruments. The adoption of this guidance did not materially impact the net earning and financial position and has no impact on the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pursuant to ASC Topic 740, Income Taxes. Income taxes are provided on an asset and liability approach for financial accounting and reporting of income taxes. Any tax paid by subsidiaries during the year is recorded. Current tax is based on the profit or loss from ordinary activities adjusted for items that are non-assessable or disallowable for income tax purpose and is calculated using tax rates that have been enacted or substantively enacted at the balance sheet date. ASC Topic 740 also requires the recognition of deferred tax assets and liabilities for both the expected impact of differences between the financial statements and the tax basis of assets and liabilities, and for the expected future tax benefit to be derived from tax losses and tax credit carry-forwards. ASC Topic 740 additionally requires the establishment of a valuation allowance to reflect the likelihood of realization of deferred tax assets. Realization of deferred tax assets are dependent upon future earnings, if any, of which the timing and amount are uncertain.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ASC Topic 740-10-05, “Income Taxes: Overview and Background”, which provides guidance for recognizing and measuring uncertain tax positions, it prescribes a threshold condition that a tax position must meet for any of the benefits of the uncertain tax position to be recognized in the financial statements. It also provides accounting guidance on derecognizing, classification and disclosure of these uncertain tax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which is an update to Topic 280, Segment Reporting. The amendments in this Update improve financial reporting by requiring disclosure of incremental segment information on an annual and interim basis for all public entities to enable investors to develop more decision-useful financial analyses.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amendments in this update: (1)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(2) 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 (3) Require that a public entity provide all annual disclosures about a reportable segment’s profit or loss and assets currently required by Topic 280 in interim periods, and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unaudited interim condensed consolidated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 (5) Require that a public entity disclose the title and position of the CODM and an explanation of how the CODM uses the reported measure(s) of segment profit or loss in assessing segment performance and deciding how to allocate resources, and (6) Require that a public entity that has a single reportable segment provide all the disclosures required by the amendments in this Update and all existing segment disclosures in Topic 280. The amendments in this Update also do not change how a public entity identifies its operating segments, aggregates those operating segments, or applies the quantitative thresholds to determine its reportable segments.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evaluating the effect this guidance will have on our segment disclosures.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which is an update to Topic 740, Income Taxes.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5 The other amendments in this Update improve the effectiveness and comparability of disclosures by (1) adding disclosures of pretax income (or loss) and income tax expense (or benefit) to be consistent with U.S. Securities and Exchange Commission (SEC) Regulation S-X 210.4-08(h), Rules of General Application — 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We are evaluating the effect this guidance will have on our tax disclosures.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for the above-mentioned pronouncements, there are no new recent issued accounting standards that will have material impact on the consolidated balance sheets, statements of operations and comprehensive income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and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 and Credit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in-house research and analysis of the Hong Kong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also exposed to liquidity risk which is the risk that we will be unable to provide sufficient capital resources and liquidity to meet our commitments and business needs. Liquidity risk is controlled by the application of financial position analysis and monitoring procedures. When necessary, we will turn to financial institutions and related parties to obtain short-term funding to cover any liquidity shortage.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the cost of revenue, selling expenses and general and administrative expenses,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from our products do not increase with such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rate that our deposited cash can earn, on the other hand, interest-earning instruments carry a degree of interest rate risk. In addition, we are exposed to variable interest rate risk principally from our existing Hong Kong dollars denominated bank borrowings. An increase will raise the cost of those debts.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our reporting currency is the U.S. dollar, the majority of our consolidated revenues, costs, and expenses are denominated in Hong Kong dollars. Most of our assets are also held in Hong Kong dollars. As a result, we are exposed to foreign exchange risk, as fluctuations in the exchange rates between the U.S. dollar and Hong Kong dollar can impact our revenues and operating results. If the Hong Kong dollar depreciates against the U.S. dollar, the value of our revenues, earnings, and assets, as expressed in our U.S. dollar financial statements, will decline. Currently, we have not entered into any hedging transactions to mitigate this foreign exchange risk.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OUR CORPORATE HISTORY AND STRUCTURE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not a Hong Kong or a mainland China operating company, but an offshore holding company incorporated in the Cayman Islands. As a holding company with no material operations of our own, we conduct our operations through our operating company in Hong Kong, Etoiles Consultancy. We also own Etoiles Financial, a company with no material operations of its own and mainly used to handle administrative expense. This is an offering of the Class A Ordinary Shares of Etoiles Capital Group Co., Ltd, the holding company in the Cayman Islands, instead of the shares of Etoiles Consultancy and Etoiles Financial.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we are incorporated under the laws of the Cayman Islands, you may encounter difficulty protecting your interests as a shareholder, and your ability to protect your rights through the U.S. federal court system may be limited. Please refer to the sections entitled “Risk Factors” and “Enforcement of Civil Liabilities” for more information.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chart below illustrates our corporate structure and identifies our subsidiaries as at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154305</wp:posOffset>
            </wp:positionV>
            <wp:extent cx="5134610" cy="1817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34610" cy="181737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6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Background</w:t>
            </w:r>
          </w:p>
        </w:tc>
      </w:tr>
      <w:tr>
        <w:trPr>
          <w:trHeight w:val="191"/>
        </w:trPr>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Etoiles Cayman</w:t>
            </w:r>
          </w:p>
        </w:tc>
        <w:tc>
          <w:tcPr>
            <w:tcW w:w="24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Incorporated on September 13, 2024 under the laws of</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 as an exempted company.</w:t>
            </w:r>
          </w:p>
        </w:tc>
      </w:tr>
      <w:tr>
        <w:trPr>
          <w:trHeight w:val="67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Zynergy BVI</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on December 27, 2023 under the laws of the</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BVI as a company limited by shares.</w:t>
            </w:r>
          </w:p>
        </w:tc>
      </w:tr>
      <w:tr>
        <w:trPr>
          <w:trHeight w:val="45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Etoiles Consultancy</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on October 9, 2013 as a limited liability</w:t>
            </w:r>
          </w:p>
        </w:tc>
      </w:tr>
      <w:tr>
        <w:trPr>
          <w:trHeight w:val="216"/>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company under the laws of the Hong Kong. Previously it</w:t>
            </w:r>
          </w:p>
        </w:tc>
      </w:tr>
      <w:tr>
        <w:trPr>
          <w:trHeight w:val="234"/>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was dormant until December 28, 2023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7089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See “Principal Shareholders” for details of our shareholding structures immediately prior to and after this Offering.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owned by Etoiles Cayman.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owned by Zynergy BVI.</w:t>
      </w:r>
    </w:p>
    <w:p>
      <w:pPr>
        <w:spacing w:after="0" w:line="659" w:lineRule="exact"/>
        <w:rPr>
          <w:sz w:val="20"/>
          <w:szCs w:val="20"/>
          <w:color w:val="auto"/>
        </w:rPr>
      </w:pPr>
    </w:p>
    <w:p>
      <w:pPr>
        <w:sectPr>
          <w:pgSz w:w="11900" w:h="16838" w:orient="portrait"/>
          <w:cols w:equalWidth="0" w:num="2">
            <w:col w:w="6760" w:space="220"/>
            <w:col w:w="4260"/>
          </w:cols>
          <w:pgMar w:left="320" w:top="900" w:right="339" w:bottom="1440" w:gutter="0" w:footer="0" w:header="0"/>
          <w:type w:val="continuous"/>
        </w:sectPr>
      </w:pPr>
    </w:p>
    <w:p>
      <w:pPr>
        <w:spacing w:after="0" w:line="38" w:lineRule="exact"/>
        <w:rPr>
          <w:sz w:val="20"/>
          <w:szCs w:val="20"/>
          <w:color w:val="auto"/>
        </w:rPr>
      </w:pPr>
    </w:p>
    <w:p>
      <w:pPr>
        <w:spacing w:after="0"/>
        <w:tabs>
          <w:tab w:leader="none" w:pos="2480" w:val="left"/>
          <w:tab w:leader="none" w:pos="6960" w:val="left"/>
        </w:tabs>
        <w:rPr>
          <w:sz w:val="20"/>
          <w:szCs w:val="20"/>
          <w:color w:val="auto"/>
        </w:rPr>
      </w:pPr>
      <w:r>
        <w:rPr>
          <w:rFonts w:ascii="Times New Roman" w:cs="Times New Roman" w:eastAsia="Times New Roman" w:hAnsi="Times New Roman"/>
          <w:sz w:val="18"/>
          <w:szCs w:val="18"/>
          <w:color w:val="auto"/>
        </w:rPr>
        <w:t>Etoiles Financial</w:t>
      </w:r>
      <w:r>
        <w:rPr>
          <w:sz w:val="20"/>
          <w:szCs w:val="20"/>
          <w:color w:val="auto"/>
        </w:rPr>
        <w:tab/>
      </w:r>
      <w:r>
        <w:rPr>
          <w:rFonts w:ascii="Times New Roman" w:cs="Times New Roman" w:eastAsia="Times New Roman" w:hAnsi="Times New Roman"/>
          <w:sz w:val="18"/>
          <w:szCs w:val="18"/>
          <w:color w:val="auto"/>
        </w:rPr>
        <w:t>Incorporated on November 16, 2023 as a limited liability</w:t>
      </w:r>
      <w:r>
        <w:rPr>
          <w:sz w:val="20"/>
          <w:szCs w:val="20"/>
          <w:color w:val="auto"/>
        </w:rPr>
        <w:tab/>
      </w:r>
      <w:r>
        <w:rPr>
          <w:rFonts w:ascii="Times New Roman" w:cs="Times New Roman" w:eastAsia="Times New Roman" w:hAnsi="Times New Roman"/>
          <w:sz w:val="17"/>
          <w:szCs w:val="17"/>
          <w:color w:val="auto"/>
        </w:rPr>
        <w:t>100% owned by Zynergy BVI.</w:t>
      </w:r>
    </w:p>
    <w:p>
      <w:pPr>
        <w:spacing w:after="0" w:line="2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company under the laws of the Hong Kong.</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at the date of this prospectus, our Controlling Shareholder own 68.08% of our Class A Ordinary Shares and 100% of Class B Ordinary Shares, which represent 92.59% of the total voting power of our outstanding Shares. See “Risk Factors — Risks Related to Our Class A Ordinary Shares — Our Controlling Shareholder has significant voting power and may take actions that may not be in the best interests of our other shareholders.”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information presented in this section has been derived from an industry report commissioned by us and prepared by Cundi Solution Limited, an independent research firm, regarding our industry and our market position in Hong Kong. We refer to this report as the “Cundi Report”. We believe that the sources of such information are appropriate, and we have taken reasonable care in extracting and reproducing such information. We have no reason to believe that such information is false or misleading in any material respect or that any fact has been omitted that would render such information false or misleading in any material respect. However, neither we nor any other party involved in this offering has independently verified such information. Forecasts and other forward-looking information obtained from these sources are subject to the same qualifications and uncertainties as the other forward-looking statements in this prospectus, and to risks due to a variety of factors, including those described under “Risk Factors.” These and other factors could cause results to differ materially from those expressed in these forecasts and other forward-looking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of Macroeconomic Environment in Hong Kong</w:t>
      </w:r>
    </w:p>
    <w:p>
      <w:pPr>
        <w:spacing w:after="0" w:line="22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Hong Kong economy continued to expand in the third quarter of 2024, albeit at a slower pace. The year-on-year growth rate of Gross Domestic Product (GDP) was 1.8%, lower than the 3.2% recorded in the previous quarter. On a seasonally adjusted quarter-to-quarter basis, GDP decreased by 1.1% in the third quarter. The growth rate of total exports of goods slowed down, while exports of services continued to increase. Overall investment expenditure increased, but private consumption expenditure continued to decline, decreasing by 1.3% year-on-year and 0.5% quarter-to-quarter in the third quarter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200" w:lineRule="auto"/>
        <w:rPr>
          <w:sz w:val="20"/>
          <w:szCs w:val="20"/>
          <w:color w:val="auto"/>
        </w:rPr>
      </w:pPr>
      <w:r>
        <w:rPr>
          <w:rFonts w:ascii="Times New Roman" w:cs="Times New Roman" w:eastAsia="Times New Roman" w:hAnsi="Times New Roman"/>
          <w:sz w:val="18"/>
          <w:szCs w:val="18"/>
          <w:color w:val="auto"/>
        </w:rPr>
        <w:t>The labor market remained tight, with the seasonally adjusted unemployment rate staying at a low level of 3.0%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third quarter of 2024, Hong Kong’s merchandise exports saw a real year-on-year increase of 4.0%, indicating a deceleration in growth. Exports to Mainland China continued to see significant growth, while the growth rate of exports to the United States slowed down, and exports to the European Union rebounded. Exports of services increased by 2.4% in real terms year-on-year in the third quarter of 2024, with further growth in the exports of financial services, business and other services, and transportation services. However, exports of tourism services continued to decline due to changes in</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tourist spending patterns and the strength of the Hong Kong dollar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According to the Census and Statistics Department’s Quarterly Business Tendency Survey, business sentiment among large enterprises remained generally subdued in the fourth quarter of 2024, though some indicators have shown signs of improvement recently.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Overview of the Financial Services Industry in Hong Kong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Hong Kong is one of the most active international financial centers in the world. The financial services sector is a key pillar of Hong Kong’s economy, accounting for 21% of the local GDP in 2019 and 22% of nominal GDP at basic prices in 2022. The sector provided approximately 269,100 jobs in 2023, accounting for 7.3% of the total employment. Hong Kong ranks third in the Global Financial Centres Index released by Z/Yen Group and the China Development Institute in September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added value of the financial services industry reached HK$613.4 billion in 2022, underscoring its significant economic impact. The average added value created per employee in the financial services sector was about HK$2.27 million in 2022, considerably higher than other major industries in Hong Kong.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Hong Kong stock market was the fourth largest in Asia and the seventh largest in the world by market capitalization at the end of August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also serves as the largest offshore Renminbi (RMB) settlement center in the world.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color w:val="auto"/>
        </w:rPr>
        <w:t>The financial services industry in Hong Kong mainly includes: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It has been a critical component, accounting for 36% of total employment and 69% of the value added in the entire financial services sector in 2022. As of October 2024, there were 178 authorized institutions in Hong Kong, including 151 licensed banks, 16 restricted license banks, and 11 deposit-taking companies, along with 31 representative offices of overseas banks. In the first three quarters of 2023, the banking sector recorded a double-digit year-on-year increase in business receipts, but the year-on-year increase slowed down in the fourth quarter.</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In 2022, the insurance sector accounted for 2% of total employment and 4% of nominal GDP in Hong Kong. The insurance sector includes life insurance underwriters, non-life insurance underwriters, and activities auxiliary to insurance and pension funding.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Services:  In 2022, other financial services accounted for 3% of total employment and 3% of nominal GDP in Hong Kong.</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Hong Kong is a major fund management hub in Asia, with its asset and wealth management business reaching HK$31.2 trillion as of 2023. Furthermore, Hong Kong is the world’s largest offshore RMB settlement center, handling approximately 80% of global offshore RMB settlements from January to September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Hong Kong’s stock market was the fourth largest in Asia and the seventh largest globally by market capitalization at the end of August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is also one of the most active markets for Initial Public Offerings (IPOs), with 71 new listings raising a total of HK$87.5 billion in 2024.</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Fintech is developing rapidly and reshaping the financial industry, with rapid developments in Hong Kong in areas such as virtual banking, insurtech, and regtech. The Hong Kong Exchanges and Clearing Limited (HKEx) continues to undergo reforms, such as implementing the revised Listing Rules in the first quarter of 2024, and creating a new listing regime for Special Purpose Acquisition Companies (SPAC) in December 2021, further solidifying Hong Kong’s position as an international financial center.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Overall, Hong Kong’s financial services industry continues to develop and plays a significant role in the local economy.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Introduction of Integrated Investor Relations Industry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integrated investor relations (IR) industry serves as an essential bridge between companies and their stakeholders, offering services such as investor relations, corporate communications, reputation management, and crisis communication. This industry plays a pivotal role in ensuring that corporations effectively convey their narratives to investors, regulators, and the public, particularly in highly dynamic and regulated markets. In 2024, the integrated IR industry continued to evolve in response to global economic trends, regulatory shifts, and advancements in digital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Financial Public Relations Industry in Hong Kong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Hong Kong remains a cornerstone of the global integrated IR industry, supported by its position as a leading international financial center. The city’s dynamic capital markets, robust regulatory framework, and status as a gateway between Mainland China and the rest of the world contribute to a thriving environment for integrated IR. Firms in Hong Kong provide services that align with the needs of listed companies and those seeking to raise capital, ensuring seamless communication with investors and stakeholders across borders.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 Capital Markets of Hong Kong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capital markets of Hong Kong experienced significant growth in 2024, underpinned by record-breaking trading volumes and a steady influx of capital from both local and international investors. The Stock Connect programs, linking Hong Kong with Shanghai and Shenzhen, continued to foster cross-border trading, with average daily trading values reaching new heights. Hong Kong’s position as a super connector was further enhanced through innovations such as the inclusion of ETFs under Stock Connect and the launch of RMB-denominated trading options.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2023, HKEX introduced a new listing regime for specialist technology companies, further expanding the listing channels for issuers and allowing companies in certain technology industries that have not met the profit or revenue requirements of the Main Board to list and raise funds. These changes are expected to foster the development of the new economy sector, further boosting demand for financial PR services in the coming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Listed Companies in Hong Kong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end of 2024, there were 2,621 listed companies on the Hong Kong Stock Exchange (HKEX), representing a diverse range of industries, including technology, real estate, and financial services. These companies collectively contributed to a market capitalization exceeding HK$34 trillion. The financial PR industry plays a vital role in helping these companies navigate regulatory requirements, communicate their corporate strategies, and engage effectively with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Listed Companies in Hong Kong (2015-2024)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43500" cy="30346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Data derived from the Hong Kong Exchanges and Clearing Limited (HKEX) reports.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IPOs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Hong Kong ranked among the top four global IPO venues in 2024, raising HK$87.5 billion from 71 new listings. This marks a significant rebound in IPO activity, with major contributions from sectors such as technology, healthcare, and green energy. The city also hosted its largest IPO since 2021, highlighting its continued attractiveness to issuers and investors. Integrated IR firms were integral in managing the communication strategies surrounding these high-profile listings, ensuring successful market debuts and sustained investor engagement.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Number of IPOs and Equity Funds Raised in Hong Kong (2015-2024)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3368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Data derived from the Hong Kong Exchanges and Clearing Limited (HKEX) and industry analysis.</w:t>
      </w:r>
    </w:p>
    <w:p>
      <w:pPr>
        <w:spacing w:after="0" w:line="227"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Hong Kong’s prominence as a leading global and regional capital market was reaffirmed in 2024. The data for the table below is sourced from the Hong Kong Exchanges and Clearing Limited (HKEX) reports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Its ranking as the fourth-largest IPO market globally and the top IPO venue in Asia highlights the city’s robust financial infrastructure and attractiveness for capital raising. The record turnover in securitized derivatives further underscores Hong Kong’s dominance in Asia’s financial ecosystem.</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IPO Equity Funds Raised</w:t>
            </w:r>
          </w:p>
        </w:tc>
      </w:tr>
      <w:tr>
        <w:trPr>
          <w:trHeight w:val="245"/>
        </w:trPr>
        <w:tc>
          <w:tcPr>
            <w:tcW w:w="36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Rank</w:t>
            </w: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20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million)</w:t>
            </w:r>
          </w:p>
        </w:tc>
      </w:tr>
      <w:tr>
        <w:trPr>
          <w:trHeight w:val="243"/>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1"/>
                <w:szCs w:val="21"/>
                <w:color w:val="auto"/>
              </w:rPr>
            </w:pP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India</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20,091</w:t>
            </w:r>
          </w:p>
        </w:tc>
      </w:tr>
      <w:tr>
        <w:trPr>
          <w:trHeight w:val="25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New York</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17,394</w:t>
            </w:r>
          </w:p>
        </w:tc>
      </w:tr>
      <w:tr>
        <w:trPr>
          <w:trHeight w:val="257"/>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NASDAQ</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16,543</w:t>
            </w:r>
          </w:p>
        </w:tc>
      </w:tr>
      <w:tr>
        <w:trPr>
          <w:trHeight w:val="256"/>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2"/>
                <w:szCs w:val="22"/>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Hong Kong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11,236</w:t>
            </w:r>
          </w:p>
        </w:tc>
      </w:tr>
      <w:tr>
        <w:trPr>
          <w:trHeight w:val="257"/>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Japan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6,257</w:t>
            </w: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Shanghai</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4,600</w:t>
            </w:r>
          </w:p>
        </w:tc>
      </w:tr>
      <w:tr>
        <w:trPr>
          <w:trHeight w:val="25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Shenzhen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4,111</w:t>
            </w: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2"/>
                <w:szCs w:val="22"/>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Saudi Arabia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3,607</w:t>
            </w:r>
          </w:p>
        </w:tc>
      </w:tr>
      <w:tr>
        <w:trPr>
          <w:trHeight w:val="25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Abu Dhabi</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3,347</w:t>
            </w: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22"/>
                <w:szCs w:val="22"/>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Spain (SIX)</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3,123</w:t>
            </w: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(h) Major Drivers Propelling the Development of Financial Public Relations Market in Hong Kong</w:t>
      </w:r>
    </w:p>
    <w:p>
      <w:pPr>
        <w:spacing w:after="0" w:line="225" w:lineRule="exact"/>
        <w:rPr>
          <w:sz w:val="20"/>
          <w:szCs w:val="20"/>
          <w:color w:val="auto"/>
        </w:rPr>
      </w:pPr>
    </w:p>
    <w:p>
      <w:pPr>
        <w:ind w:left="160" w:hanging="152"/>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Expansion of the Capital Markets of Hong Kong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continuous growth and internationalization of Hong Kong’s capital markets have been key drivers of the integrated IR industry. Enhanced market connectivity, regulatory reforms, and increasing investor participation have created a robust demand for specialized communication services. Integrated IR firms are tasked with supporting companies in navigating the complexities of cross-border capital flows and meeting heightened disclosure requirements.</w:t>
      </w:r>
    </w:p>
    <w:p>
      <w:pPr>
        <w:spacing w:after="0" w:line="172"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Increased Demand for Financial Public Relations Services to Enhance Brand and Corporate Image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an increasingly competitive environment, companies are placing greater emphasis on building strong corporate brands and maintaining positive reputations. Financial PR firms provide strategic guidance to enhance corporate visibility, strengthen stakeholder relationships, and manage reputational risks, all of which are critical in today’s fast-paced market landscape.</w:t>
      </w:r>
    </w:p>
    <w:p>
      <w:pPr>
        <w:spacing w:after="0" w:line="172"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Digitalization of Global Business, Increasing Use of Social Media and Artificial Intelligence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Digital transformation has reshaped the financial PR industry, with firms leveraging social media platforms, advanced analytics, and artificial intelligence to optimize communication strategies. These tools enable real-time engagement with stakeholders, precise targeting, and data-driven decision-making, further enhancing the value of integrated IR services in Hong Kong.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Entry Barriers</w:t>
      </w:r>
    </w:p>
    <w:p>
      <w:pPr>
        <w:spacing w:after="0" w:line="225" w:lineRule="exact"/>
        <w:rPr>
          <w:sz w:val="20"/>
          <w:szCs w:val="20"/>
          <w:color w:val="auto"/>
        </w:rPr>
      </w:pPr>
    </w:p>
    <w:p>
      <w:pPr>
        <w:ind w:left="160" w:hanging="152"/>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Fierce Competition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integrated IR market in Hong Kong is highly competitive, with a mix of multinational agencies and local firms vying for market share. The ability to differentiate through specialized expertise, innovative solutions, and client-centric approaches is crucial to success.</w:t>
      </w:r>
    </w:p>
    <w:p>
      <w:pPr>
        <w:spacing w:after="0" w:line="158" w:lineRule="exact"/>
        <w:rPr>
          <w:sz w:val="20"/>
          <w:szCs w:val="20"/>
          <w:color w:val="auto"/>
        </w:rPr>
      </w:pPr>
    </w:p>
    <w:p>
      <w:pPr>
        <w:ind w:left="220" w:hanging="212"/>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Need for Effective and Professional Teams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Building a team of skilled professionals is a significant challenge for integrated IR firms. The industry demands expertise in finance, communication, and regulatory compliance, requiring substantial investment in talent acquisition and training.</w:t>
      </w:r>
    </w:p>
    <w:p>
      <w:pPr>
        <w:spacing w:after="0" w:line="15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Difficulty in Building Up Client Portfolio</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Establishing a robust client base can be challenging, particularly for new entrants. Trust and credibility are paramount in integrated IR, and firms must demonstrate a proven track record to attract high-profile clients.</w:t>
      </w:r>
    </w:p>
    <w:p>
      <w:pPr>
        <w:spacing w:after="0" w:line="158"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Entry Barriers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barriers include stringent regulatory requirements, high operational costs, and the need to stay ahead of rapid technological advancements.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Firms must also navigate complex cross-border communication challenges, particularly when serving multinational clients.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conclusion, the integrated IR relations industry in Hong Kong remains a dynamic and integral part of the city’s financial ecosystem. By leveraging its unique strengths and addressing emerging challenges, the industry is well-positioned to support the continued growth and globalization of Hong Kong’s capital markets.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mission is to become a leading integrated investor relation services provider in Hong Kong in terms of revenue. We strive to provide one-stop solution to companies in managing their institutional relations, engaging constructive discussion with their stakeholders and tailor creative solutions to navigate the ever-changing financial landscape.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on September 13, 2024, as a holding company. We conduct our operation through our indirect wholly-owned Hong Kong Operating Subsidiary, Etoiles Consultancy. Etoiles Financial, our other Hong Kong subsidiary, has no material operations of its own and is mainly used to handle administrative expenses. We operate in a single segment that represents the Company’s core business as an integrated investor relation service provider in Hong Kong.</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integrated investor relation services mainly comprise one of more of the following components: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public relation: in assisting our clients to promote their corporate image, our Hong Kong Operating Subsidiary will assist in preparing promotional plan, preparing corporate presentation materials, designing investor relation websites, preparing advertising plans and publicity materials, providing support in roadshows and press conferences, coordinating ceremonies and interviews and assisting in crisis management;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investor relation: in assisting our clients to manage relation with their investors, our Hong Kong Operating Subsidiary will assist in drafting investor relation media documents and coordinating shareholders meetings and press conferences and assist in identifying and approaching shareholders;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due diligence exercise: our Hong Kong Operating Subsidiary assists our clients in conducting due diligence on specific investment or acquisition targets worldwide, including reviewing statutory records, conducting site visits and preparing due diligence report;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value-added services such as website design enhancement and promotional video production.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through our Hong Kong Operating Subsidiary, have achieved significant growth in our business. For each of the fiscal years ended December 31, 2024 and 2023, our total revenue was approximately US$2.5 million and US$0.1 million, respectively. The number of clients with revenue contribution to us was 1 for the fiscal year ended December 31, 2023 and 22 for the fiscal year ended December 31, 2024.</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 to Cundi, 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following strengths have contributed to our success and differentiate us from our peers: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comprehensive integrated investor relation services to our clients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2023, our Hong Kong Operating Subsidiary has focused on providing integrated investor relation services and building up our expertise and track record in the financial industry. Our integrated investor relation services mainly comprise one of more of the following: (i) management of public relation to assist our clients to promote their corporate image; (ii) management of investor relations to assist our clients to manage relation with their investors; and (iii) tailored due diligence exercises. Our wide range of services ensures that we are capable at fulfilling our clients’ needs at various stages of their business development and enhance convenience and efficacy. We believe that we can create opportunities for cross selling through offering a wide spectrum of services. For example, clients who initially engage us for public relation services during their initial public offering process may engage us further for investor relations services after listing, which allows us to foster solid long-term relationship with our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possess a strong client base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Hong Kong Operating Subsidiary provides services to clients from various backgrounds. Our clients mainly consist of (i) clients that intend to seek a listing or are listed on a stock exchange; and (ii) companies and professional firms in the financial industry. We believe our expertise in addressing our clients’ investor relation service needs and our market reputation are essential to our success. The number of clients with revenue contribution to us was 1 for the fiscal year ended December 31, 2023 and 22 for the fiscal year ended December 31,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mid-2024, our Hong Kong Operating Subsidiary has started providing services to companies that intend to seek a listing or are listed on the stock exchanges in the U.S.. We believe that by expanding our service offerings to cover companies with various needs and backgrounds, we will be able to capture the growth in various capital markets and mitigate the impacts of market downturns.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experienced and professional management team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team comprises of professionals with extensive experience in finance and public relation industries. Mr. Kit Shing, CHEUNG, our Chief Executive Officer and Chair of the board of the Company, has over 7 years of experience in business management, while Mr. Hon Fai, TAM, our Chief Financial Officer, had held various senior positions in accounting, financing and auditing industry. Our core operation team are equipped with experience and deep understanding of the financial or public relation industry. Leveraging on our staff’s experience in the industry and the in-depth knowledge possessed by our management team, we believe we have a comprehensive understanding of our clients’ needs and are well-positioned to expand our market presence and reach out to new potential clients from various industries.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principal growth strategies include further strengthening our market position and increasing our market share in the Hong Kong integrated investor relation industry. We intend on achieving this growth by actively seeking new opportunities from our existing client base as well as new potential clients. To achieve these goals, we plan on implementing the following strategies: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Further strengthen our integrated investor relation services in Hong Kong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plan to continue to devote the majority of our attention to provide quality integrated investor relation services in Hong Kong. We believe possessing a dedicated and experienced team with immense industry knowledge are essential to our growth and development. We intend to strengthen our team by recruiting additional staff to ensure we can allocate sufficient staff to attend to our clients’ needs. We intend to recruit staff with professional qualification in the financial industry and/or staff with experience and deep understanding of the financial or public relation industry. We believe that an enhanced team of staff will ensure quality services are provided to our clients in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is constantly looking out to incorporate in latest technology and trends into our service offerings. We intend to utilize social media to assist our clients to reach out to their targeted audience. We also intend to utilize virtual reality technology and other tools to provide a more stimulating experience to our clients during major presentation such as investor presentations and roadshows.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market presence in other international capital markets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2023, our Hong Kong Operating Subsidiary has focused on providing integrated investor relation services and building up our expertise and track record in the financial industry, in particular in Hong Kong. Since mid-2024, our Hong Kong Operating Subsidiary has started providing services to companies that intend to seek a listing or are listed on the stock exchanges in the U.S.. Our management believes that the U.S. capital market will continue to attract interests from companies all around the globe in the upcoming decade. We plan to expand our market presence in the U.S. and the international markets by collaborating with stakeholders in the equity and debt capital markets and expanding our business network. We intend to attend industry events and liaising with our existing business partners and professional firms. We also intend to connect with U.S. based suppliers to provide location-specific services to our clients.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Enhancing our brand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identify new clients mainly through referrals from our existing clients and business partners. We believe we can broaden our client base, attract more referrals from potential clients and improve our reputation by increasing our marketing effort to promote our “Etoiles” brand and market presence in the financial industry in Hong Kong.</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plan to (i) enhance our web pages for advertising our services; (ii) place advertisements in newspaper and online medias; (iii) sponsoring business events organized by professional firms and participating events organized by the stakeholders in the financial industry; and (iv) actively approaching potential clients in the Hong Kong and the U.S. financial industries to secure new business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mainly engaged in integrated investor relation services in Hong Kong. For each of the fiscal years ended December 31, 2024 and 2023, our total revenue was approximately US$2.5 million and US$0.1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operate our business primarily through our indirectly wholly-owned Hong Kong Operating Subsidiary, Etoiles Financial. We operate in a single segment that represents the Company’s core business as an integrated investor relation service provider in Hong Kong. Our integrated investor relation services mainly comprise one of more of the following components:</w:t>
      </w:r>
    </w:p>
    <w:p>
      <w:pPr>
        <w:spacing w:after="0" w:line="176"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public relation: In assisting our clients to promote their corporate image, our Hong Kong Operating Subsidiary will typically perform the following works: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clients in preparing promotional plan for their proposed transactions or fund-raising activities with the targeted corporate positioning;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corporate presentation materials for marketing and promotion;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 sessions to management to train their communication skills in presentation during roadshows, press conferences and/or investor meetings;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the clients’ investor relation websites and incorporate into their own websites;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advertising plans and publicity materials to improve market awareness of our clients;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support for our clients’ roadshows and press conferences, and liaise with the media and the public;</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any ceremonies and interviews subsequent to a major event such as listing on a stock exchange or conclusion of a major transaction;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constantly monitor any adverse media reporting and assist our clients in crisis management in case of any unexpected emergencies.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investor relation: In assisting our clients to manage relation with their investors, our Hong Kong Operating Subsidiary typically perform the following works: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draft investor relation media documents and ensure sufficient corporate information is conveyed to the media and investors;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shareholders meetings and press conferences for specific matters targeting investors and other stakeholders;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our clients in reviewing their shareholding structure and identify and approach shareholders;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Tailored due diligence exercises: Our Hong Kong Operating Subsidiary assists our clients in conducting due diligence of on specific investment or acquisition targets worldwide. Our Hong Kong Operating Subsidiary will review the targets’ statutory records and review their legal status. Our Hong Kong Operating Subsidiary will conduct business site visit to observe and record the operations of a business. Our Hong Kong Operating Subsidiary will also conduct searches to review any involvement in civil or criminal litigation and irregularity. Our Hong Kong Operating Subsidiary will issue a due diligence report or documentation as requested by our clients for their transactions.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value-added services such as website design enhancement and promotional video production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Workflow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identify new clients mainly through referrals from our existing clients and business partners. We generally meet with our potential clients to better assess their needs and we will tailor our scope of services to cater their demands. In assessing the fee for our services, we take into account the costs to be incurred based on our past experience, duration, manpower required and complexity of the services.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being engaged by our clients, we will review their corporate profile to gain a deeper understanding to their business and goals and formulate a preliminary strategy with their targeted corporate positioning. We will liaise with our clients in formulating the strategy and incorporate their ideas and thoughts into our proposal. We will obtain our clients’ final proposal before executing.</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project execution stage, we will constantly monitor the effectiveness of our services and make adjustment in accordance with our clients’ needs and requests. For engagement on a project-by-project basis, we generally bill our clients upon reaching certain milestones. For engagement over a period of time, we generally bill our clients for service provided monthly or yearly. Upon conclusion of the project or engagement, we will follow up with our clients to obtain their comments and discuss any possible add on services or follow up services that we can provide.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strategy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accurately estimating the cost of project is essential to our overall profitability. Our fee quotation is generally determined by adding certain mark-ups over our estimated costs. In assessing the fee for our services, we take into account the costs to be incurred based on our past experience, duration, manpower required and complexity of the services.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consideration the percentage of mark-up for each project, we generally consider the complexity and duration of the project, our business relation with the client, the client’s background, the prospect of obtaining future projects from the client or referrals of the client, the possibility of establishing our reputation in the industry, the prevailing market conditions and competitors’ pricing.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sales and marketing function is performed by our management team and project execution team who are responsible for maintaining relationships with the management of our existing clients and exploring leads from new clients. We identify new clients mainly through referrals from our existing clients and business partners.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clients mainly consist of (i) clients that intend to seek a listing or are listed on a stock exchange; and (ii) companies and professional firms in the financial industry. The number of clients with revenue contribution to us was 1 for the fiscal year ended December 31, 2023 and 22 for the fiscal year ended December 31, 2024. The total revenue attributable to our five largest clients in aggregate accounted for approximately 48.6% and 100.0% of the total revenue for the fiscal years ended December 31, 2024 and 2023,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fiscal year ended December 31, 2024, 2 of our clients accounted for more than 10% of our annual revenue, with Marlin Capital Limited for 12.1%, and MOG Digitech Holdings Limited for 10.2%. In the fiscal year ended December 31, 2023, 1 of our clients accounted for more than 10% of our annual revenue, with M-Coffee (Hong Kong) Holdings Limited for 100.0%.</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Hong Kong Operating Subsidiary generally enters into contracts with our clients. Although the terms of the contracts may vary, the material terms that are generally contained are set out below:</w:t>
      </w:r>
    </w:p>
    <w:p>
      <w:pPr>
        <w:sectPr>
          <w:pgSz w:w="11900" w:h="16838" w:orient="portrait"/>
          <w:cols w:equalWidth="0" w:num="1">
            <w:col w:w="11240"/>
          </w:cols>
          <w:pgMar w:left="320" w:top="90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one year</w:t>
      </w:r>
    </w:p>
    <w:p>
      <w:pPr>
        <w:spacing w:after="0" w:line="211" w:lineRule="exact"/>
        <w:rPr>
          <w:sz w:val="20"/>
          <w:szCs w:val="20"/>
          <w:color w:val="auto"/>
        </w:rPr>
      </w:pPr>
    </w:p>
    <w:p>
      <w:pPr>
        <w:sectPr>
          <w:pgSz w:w="11900" w:h="16838" w:orient="portrait"/>
          <w:cols w:equalWidth="0" w:num="2">
            <w:col w:w="1780" w:space="720"/>
            <w:col w:w="8740"/>
          </w:cols>
          <w:pgMar w:left="320" w:top="900"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Scope of Service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clients’ needs, our services may comprise management of public relation, management of investor relation, tailored due diligence exercises and/or other value-added services. Our Hong Kong Operating Subsidiary is required to provide the deliverables in a timely manner. If our Hong Kong Operating Subsidiary for reasonable reasons wish to amend the timetable, scope of services and methodology, we shall obtain our clients’ approval 10 business days prior to provision of services. Within 7 business days from providing the deliverables, we shall amend according to our clients’ instructions.</w:t>
      </w:r>
    </w:p>
    <w:p>
      <w:pPr>
        <w:spacing w:after="0" w:line="200" w:lineRule="exact"/>
        <w:rPr>
          <w:sz w:val="20"/>
          <w:szCs w:val="20"/>
          <w:color w:val="auto"/>
        </w:rPr>
      </w:pPr>
    </w:p>
    <w:p>
      <w:pPr>
        <w:sectPr>
          <w:pgSz w:w="11900" w:h="16838" w:orient="portrait"/>
          <w:cols w:equalWidth="0" w:num="2">
            <w:col w:w="1780" w:space="720"/>
            <w:col w:w="8740"/>
          </w:cols>
          <w:pgMar w:left="320" w:top="900"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a fixed fee or monthly/annual fee</w:t>
      </w:r>
    </w:p>
    <w:p>
      <w:pPr>
        <w:spacing w:after="0" w:line="211" w:lineRule="exact"/>
        <w:rPr>
          <w:sz w:val="20"/>
          <w:szCs w:val="20"/>
          <w:color w:val="auto"/>
        </w:rPr>
      </w:pPr>
    </w:p>
    <w:p>
      <w:pPr>
        <w:sectPr>
          <w:pgSz w:w="11900" w:h="16838" w:orient="portrait"/>
          <w:cols w:equalWidth="0" w:num="2">
            <w:col w:w="1780" w:space="720"/>
            <w:col w:w="8740"/>
          </w:cols>
          <w:pgMar w:left="320" w:top="900"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Termination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we fail to provide the scope of services in the contracts timely, our clients have the right to terminate the contract and we have to refund the fee for our remaining works.</w:t>
      </w:r>
    </w:p>
    <w:p>
      <w:pPr>
        <w:spacing w:after="0" w:line="162" w:lineRule="exact"/>
        <w:rPr>
          <w:sz w:val="20"/>
          <w:szCs w:val="20"/>
          <w:color w:val="auto"/>
        </w:rPr>
      </w:pPr>
    </w:p>
    <w:p>
      <w:pPr>
        <w:sectPr>
          <w:pgSz w:w="11900" w:h="16838" w:orient="portrait"/>
          <w:cols w:equalWidth="0" w:num="2">
            <w:col w:w="1780" w:space="720"/>
            <w:col w:w="8740"/>
          </w:cols>
          <w:pgMar w:left="320" w:top="900"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While we recognize revenue over time for integrated investor relations services structured under service contracts, we recognize revenue at a point in time for certain one-off engagements. Revenue is recognized when the agreed-upon deliverables have been fully completed, and the client has obtained control of the service output.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point-in-time engagements typically include discrete services such as tailored due diligence exercises, promotional materials production, and standalone event coordination. Generally, we receive full payment of the pre-agreed fee before performing the relevant services. Revenue is recognized when all performance obligations have been satisfied, and no further obligations remain under the respective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Vendors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our business nature, our vendors primarily comprise public relation companies to assist us in roadshow arrangement and other ancillary services. In the fiscal year ended December 31, 2024, one of our vendors accounted for over 10% of the cost of revenue, with 3H Mgt (HK) Limited for 36.2%. In the fiscal year ended December 31, 2023, none of our vendors accounted for over 10% of the cost of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According to Cundi, 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experience any seasonality in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Hong Kong Operating Subsidiary maintain employees’ compensation insurance for our directors and employees at our office, which covers the liability to make payment in the case of death, injury or disability of all our employees under the Employees’ Compensation Ordinance (Chapter 282 of the Laws of Hong Kong) and at common law for injuries sustained at work. We believe that our current insurance policies are sufficient for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our Hong Kong Operating Subsidiary and Etoiles Financial have obtained all material licenses, certificates, and approvals required for carrying on our business activities in Hong Kong for the fiscal years ended December 31, 2024 and 2023, and up to the date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Etoiles Financial entered into the following lease agreement: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Term of lease</w:t>
            </w:r>
          </w:p>
        </w:tc>
        <w:tc>
          <w:tcPr>
            <w:tcW w:w="23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Usage</w:t>
            </w:r>
          </w:p>
        </w:tc>
      </w:tr>
      <w:tr>
        <w:trPr>
          <w:trHeight w:val="198"/>
        </w:trPr>
        <w:tc>
          <w:tcPr>
            <w:tcW w:w="50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 03-04, 25/F, Cosco Tower, 183 Queen’s Road Central, Sheung</w:t>
            </w:r>
          </w:p>
        </w:tc>
        <w:tc>
          <w:tcPr>
            <w:tcW w:w="220" w:type="dxa"/>
            <w:vAlign w:val="bottom"/>
            <w:tcBorders>
              <w:top w:val="single" w:sz="8" w:color="CCEEFF"/>
            </w:tcBorders>
            <w:shd w:val="clear" w:color="auto" w:fill="CCEEFF"/>
          </w:tcPr>
          <w:p>
            <w:pPr>
              <w:spacing w:after="0"/>
              <w:rPr>
                <w:sz w:val="17"/>
                <w:szCs w:val="17"/>
                <w:color w:val="auto"/>
              </w:rPr>
            </w:pPr>
          </w:p>
        </w:tc>
        <w:tc>
          <w:tcPr>
            <w:tcW w:w="33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March 20, 2025 to March 19, 2027</w:t>
            </w:r>
          </w:p>
        </w:tc>
        <w:tc>
          <w:tcPr>
            <w:tcW w:w="220" w:type="dxa"/>
            <w:vAlign w:val="bottom"/>
            <w:tcBorders>
              <w:top w:val="single" w:sz="8" w:color="CCEEFF"/>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ind w:left="940"/>
              <w:spacing w:after="0" w:line="198" w:lineRule="exact"/>
              <w:rPr>
                <w:sz w:val="20"/>
                <w:szCs w:val="20"/>
                <w:color w:val="auto"/>
              </w:rPr>
            </w:pPr>
            <w:r>
              <w:rPr>
                <w:rFonts w:ascii="Times New Roman" w:cs="Times New Roman" w:eastAsia="Times New Roman" w:hAnsi="Times New Roman"/>
                <w:sz w:val="18"/>
                <w:szCs w:val="18"/>
                <w:color w:val="auto"/>
              </w:rPr>
              <w:t>Office</w:t>
            </w:r>
          </w:p>
        </w:tc>
      </w:tr>
      <w:tr>
        <w:trPr>
          <w:trHeight w:val="234"/>
        </w:trPr>
        <w:tc>
          <w:tcPr>
            <w:tcW w:w="5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Wan, Hong Kong</w:t>
            </w:r>
          </w:p>
        </w:tc>
        <w:tc>
          <w:tcPr>
            <w:tcW w:w="3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r>
      <w:tr>
        <w:trPr>
          <w:trHeight w:val="43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pacing w:after="0" w:line="19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our Hong Kong Operating Subsidiary employed a total of 14 employees, located in Hong Kong. The following table sets forth a breakdown of our employees by function:</w:t>
      </w:r>
    </w:p>
    <w:tbl>
      <w:tblPr>
        <w:tblLayout w:type="fixed"/>
        <w:tblInd w:w="0" w:type="dxa"/>
        <w:tblCellMar>
          <w:top w:w="0" w:type="dxa"/>
          <w:left w:w="0" w:type="dxa"/>
          <w:bottom w:w="0" w:type="dxa"/>
          <w:right w:w="0" w:type="dxa"/>
        </w:tblCellMar>
      </w:tblPr>
      <w:tr>
        <w:trPr>
          <w:trHeight w:val="194"/>
        </w:trPr>
        <w:tc>
          <w:tcPr>
            <w:tcW w:w="9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Functional Area</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Relationship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Administration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that we have maintained a good relationship with our employees and have not experienced any significant disputes with our employees or any disruption to our operations due to any labor disputes. In addition, we have not experienced any difficulties in the recruitment and retention of experienced core staff or skilled personnel.</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remuneration package includes salary and discretionary bonuses. In general, we determine employees’ salaries based on their qualifications, position and seniority. In order to attract and retain valuable employees, we review the performance of our employees annually which will be taken into account in annual salary review and promotion appraisal. We provide a defined contribution to the Mandatory Provident Fund as required under the Mandatory Provident Fund Schemes Ordinance (Chapter 485 of the Laws of Hong Kong) for our eligible employees in Hong Kong.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Etoiles Cayman and its subsidiaries had not been involved in any legal proceedings, investigations, claims nor had we been aware of any pending or threatened litigation, arbitration or other claims, which would have a material adverse impact on the operations, financial position and reputation of our Group.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that affect our business in material jurisdictions.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Related to our Business Operation in Hong Kong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TRADE DESCRIPTION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Description Ordinance (Chapter 362 of the Laws of Hong Kong)</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After an amendment in 2012, which came into operation in 2013, some new provisions in the Trade Description Ordinance (‘‘TDO’’) are relevant to commercial practice including advertising and marketing.</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Under section 2 of the TDO, trade description can now be applied to a service. It means in relation to a service, an indication, direct or indirect, and by whatever means given, with respect to the service or any part of the service including an indication of any of the following matters:</w:t>
      </w:r>
    </w:p>
    <w:p>
      <w:pPr>
        <w:spacing w:after="0" w:line="162" w:lineRule="exact"/>
        <w:rPr>
          <w:sz w:val="20"/>
          <w:szCs w:val="20"/>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scope, quantity (including the number of occasions on which, and the length of time for which, the service is supplied or to be supplied), standard, quality, value or grade;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fitness for purpose, strength, performance, effectiveness, benefits or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 and procedure by which, manner in which, and location at which, the service is supplied or to be supplied;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by any person and the results of the testing;</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any person or conformity with a type approved by any person; (g) a person by whom it has been acquired, or who has agreed to acquire it; (h) the person by whom the service is supplied or to be supplied;</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after-sale service assistance concerning the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how price is calculated or the existence of any price advantage or discount.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section 7A of the TDO, a trader who applies a false trade description to a service supplied or offered to be supplied to a consumer; or supplies or offers to supply to a consumer a service to which a false trade description is applied commits an offence. Under section 13E of the TDO, if the commercial practice (including advertising and marketing) contains misleading omission as to material information the trader commits a criminal offence.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section 18 of the TDO, any person who commits an offence under inter alia, section 7A or section 13E shall be liable on conviction on indictment to a maximum fine of HK$500,000.00 and imprisonment for 5 years; and on summary conviction to a maximum fine of HK$100,000.00 and imprisonment for 2 years. Further, under section 18A of the TDO, on conviction of an offence under inter alia sections 7A and 13E, the court has the additional power to order the payment of compensation.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 to section 20 of the TDO, if the offence is committed by a limited company and the offence has been committed with the consent or connivance or is attributable to the neglect of a person including a director, officer or manager they also commit the offence.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MISREPRESENTATION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Misrepresentation Ordinance (Chapter 284 of the laws of Hong Kong)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Misrepresentation Ordinance, where a person has entered into a contract after a misrepresentation has been made to him, and (a) the misrepresentation has become a term of the contract; or (b) the contract has been performed, or both, then, if otherwise he would be entitled to rescind the contract without alleging fraud, he shall be so entitled, subject to the provisions of this Ordinance, notwithstanding the matters mentioned in (a) and (b)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color w:val="auto"/>
        </w:rPr>
        <w:t>Under section 3 of the Misrepresentation Ordinance:</w:t>
      </w:r>
    </w:p>
    <w:p>
      <w:pPr>
        <w:spacing w:after="0" w:line="225" w:lineRule="exact"/>
        <w:rPr>
          <w:sz w:val="20"/>
          <w:szCs w:val="20"/>
          <w:color w:val="auto"/>
        </w:rPr>
      </w:pPr>
    </w:p>
    <w:p>
      <w:pPr>
        <w:jc w:val="both"/>
        <w:ind w:left="660" w:hanging="328"/>
        <w:spacing w:after="0" w:line="261"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person has entered into a contract after a misrepresentation has been made to him by another party thereto and as a result thereof he has suffered loss, then, if the person making the misrepresentation would be liable to damages in respect thereof had the misrepresentation been made fraudulently, that person shall be so liable notwithstanding that the misrepresentation was not made fraudulently, unless he proves that he had reasonable grounds to believe and did believe up to the time the contract was made that the facts represented were true.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person has entered into a contract after a misrepresentation has been made to him otherwise than fraudulently, and he would be entitled, by reason of the misrepresentation, to rescind the contract, then, if it is claimed, in any proceedings arising out of the contract, that the contract ought to be or has been rescinded the court or arbitrator may declare the contract subsisting and award damages in lieu of rescission, if of opinion that it would be equitable to do so, having regard to the nature of the misrepresentation and the loss that would be caused by it if the contract were upheld, as well as to the loss that rescission would cause to the other party.</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may be awarded against a person under subsection (2) whether or not he is liable to damages under subsection (1), but where he is so liable any award under subsection (2) shall be taken into account in assessing his liability under subsection (1).</w:t>
      </w:r>
    </w:p>
    <w:p>
      <w:pPr>
        <w:spacing w:after="0" w:line="15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Data (Privacy) Ordinance (Chapter 486 of the laws of Hong Kong)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Personal Data (Privacy) Ordinance protects the privacy interests of living individuals in relation to personal data. It covers any automated and non-automated data relating directly or indirectly to a living individual and applies to both public and private bodies as data users that control the collection, holding, processing or use of personal data.</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are six principles in respect of the purpose and manner of collection of data, the accuracy and duration of retention of data, the use of personal data, the security of personal data, the information to be generally available and the access to personal data. In general, the personal data shall be lawfully and fairly collected and steps should be taken to ensure that the data subject is explicitly or implicitly informed on or before collecting the data. Personal data should also be accurate, up-to-date and kept no longer than necessary while unless with the consent from the data subjects, personal data should be used for the purposes for which they were collected or a directly related purpose.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Office of the Privacy Commissioner for Personal Data is the governing body to promote, administer and oversee the enforcement of the Personal Data (Privacy) Ordinance. It has the power to carry out inspections of any personal data systems, to receive complaints from individuals and to investigate data users in respect of the complaints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EMPLOYMENT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Minimum Wage Ordinance (Chapter 608 of the Laws of Hong Kong)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Minimum Wage Ordinance provides for a prescribed minimum hourly wage (set at HK$42.1 per hour as at the date of this prospectus) during the wage period for every employee engaged under a contract of employment under the Employment Ordinance. Any provision of the employment contract which purports to extinguish or reduce the right, benefit or protection conferred on the employee by the Minimum Wage Ordinance is void.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Provident Fund Schemes Ordinance (Chapter 485 of the Laws of Hong Kong) (“MPF Schemes Ordinance”)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Employers are required to enroll their regular employees (except for certain exempt persons) aged between at least 18 but under 65 years of age and employed for 60 days or more in a Mandatory Provident Fund (“</w:t>
      </w:r>
      <w:r>
        <w:rPr>
          <w:rFonts w:ascii="Times New Roman" w:cs="Times New Roman" w:eastAsia="Times New Roman" w:hAnsi="Times New Roman"/>
          <w:sz w:val="18"/>
          <w:szCs w:val="18"/>
          <w:b w:val="1"/>
          <w:bCs w:val="1"/>
          <w:color w:val="auto"/>
        </w:rPr>
        <w:t>MPF</w:t>
      </w:r>
      <w:r>
        <w:rPr>
          <w:rFonts w:ascii="Times New Roman" w:cs="Times New Roman" w:eastAsia="Times New Roman" w:hAnsi="Times New Roman"/>
          <w:sz w:val="18"/>
          <w:szCs w:val="18"/>
          <w:color w:val="auto"/>
        </w:rPr>
        <w:t>”) scheme within the first 60 days of employment.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both employees and employers, it is mandatory to make regular contributions into an MPF scheme. For an employee, subject to the maximum and minimum levels of income (set at HK$30,000 and HK$7,100 per month, respectively, as at the date of this prospectus), an employer will deduct 5% of the relevant income on behalf of an employee as mandatory contributions to a registered MPF scheme with a ceiling (set at HK$1,500 as at the date of this prospectus). The employer will also be required to contribute an amount equivalent to 5% of an employee’s relevant income to the MPF scheme, subject only to the maximum level of income (set at HK$30,000 as at the date of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HEALTH AND SAFETY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Occupational Safety and Health Ordinance (Chapter 509 of the Laws of Hong Kong)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Occupational Safety and Health Ordinance provides for the safety and health protection to employees in workplaces, both industrial and non-industrial.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Employers must as far as reasonably practicable ensure the safety and health in their workplaces by:</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and maintaining plant and systems of work that are safe and without risks to health;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for ensuring safety and absence of risks to health in connection with the use, handling, storage or transport of plant or substances;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regards any workplace under the employer’s control: maintenance of the workplace in a condition that is safe and without risks to health; and provision and maintenance of means of access to and egress from the workplace that are safe and without any such risks;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all necessary information, instructions, training and supervision for ensuring safety and health;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and maintaining a working environment for the employer’s employees that is safe and without risks to health.</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Failure to comply with any of the above provisions constitutes an offence and the employer is liable on conviction to a fine of HK$200,000. An employer who fails to do so intentionally, knowingly or recklessly commits an offence and is liable on conviction to a fine of HK$200,000 and to imprisonment for six months.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Commissioner for Labor may also issue an improvement notice against non-compliance of the Occupational Safety and Health Ordinance or suspension notice against activity or condition of workplace which may create imminent risk of death or serious bodily injury. Failure to comply with such notice without reasonable excuse constitutes an offence punishable by a fine of HK$200,000 and HK$500,000 respectively and imprisonment of up to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Compensation Ordinance (Chapter 282 of the Laws of Hong Kong)</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Employees’ Compensation Ordinance establishes a no-fault and non-contributory employee compensation system for work injuries and lays down the rights and obligations of employers and employees in respect of injuries or death caused by accidents arising out of and in the course of employment, or by prescribed occupational diseases.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Employees’ Compensation Ordinance, if an employee sustains an injury or dies as a result of an accident arising out of and in the course of his employment, his employer is in general liable to pay compensation even if the employee might have committed acts of faults or negligence when the accident occurred. Similarly, an employee who suffers incapacity arising from an occupational disease is entitled to receive the same compensation as that payable to employees injured in occupational accidents.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According to section 15(1A) of the Employees’ Compensation Ordinance, employer shall report work injuries of its employee to the Commissioner of Labor not later than 14 days after the accident, irrespective of whether the accident gives rise to any liability to pay compensation.</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section 40 of the Employees’ Compensation Ordinance, all employers (including contractors and subcontractors) are required to take out insurance policies to cover their liabilities both under the Employees’ Compensation Ordinance and at common law for injuries at work in respect of all their employees (including full-time and part-time employees). Under section 40(1B) of the Employees’ Compensation Ordinance, where a principal contractor has undertaken to perform any construction work, it may take out an insurance policy for an amount not less than HK$200 million per event to cover his liability and that of his subcontractor(s) under the Employees’ Compensation Ordinance and at common law. Where a principal contractor has a policy of insurance under section 40(1B) of the Employees’ Compensation Ordinance, the principal contractor and a subcontractor insured under the policy shall be regarded as having complied with section 40(1) of the Employees’ Compensation Ordinance.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employer who fails to comply with the Employees’ Compensation Ordinance to secure an insurance cover is liable on conviction upon indictment to a fine at level 6 (currently at HK$100,000) and to imprisonment for two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Ordinance (Chapter 347 of the Laws of Hong Kong)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Limitation Ordinance, the time limit for an applicant to commence common law claims for personal injuries is three years from the date on which the cause of action accrued.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Occupiers Liability Ordinance (Chapter 314 of the Laws of Hong Kong)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Occupiers Liability Ordinance regulates the obligations of a person occupying or having control of premises on injury resulting to persons or damage caused to goods or other property on the land.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Occupiers Liability Ordinance imposes a common duty of care on an occupier of premises to take such care as in all the circumstances of the case is reasonable to see that the visitor will be reasonably safe in using the premises for the purposes for which he is invited or permitted by the occupier to be there.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Registration Ordinance (Chapter 310 of the Laws of Hong Kong)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Business Registration Ordinance requires every person who carries on a business in Hong Kong to apply for business registration within one month from the date of commencement of the business, and to display a valid business registration certificate at the place of business.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Any person who fails to apply for business registration or display a valid business registration certificate at the place of business shall be guilty of an offence and shall be liable to a fine of HK$5,000 and imprisonment for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from April 1, 2018, profits tax is levied on a two-tiered profits tax rate basis, with the first HK$2 million of profits being taxed at 8.25% for corporations and 7.5% for unincorporated businesses, and profits exceeding the first HK$2 million being taxed at 16.5% for corporations and 15% for unincorporated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16, 2007, the National People’s Congress enacted the Enterprise Income Tax Law of PRC, or the Enterprise Income Tax Law, while the State Council promulgated the Implementing Rules of the Enterprise Income Tax Law of PRC, or the Implementing Rules on December 6, 2007, both of which became effective on January 1, 2008. The Enterprise Income Tax Law was further amended by SCNPC on February 24, 2017, which stimulates that corporate income tax shall be payable by a resident enterprise for income derived from or accruing in or outside China. Corporate income tax shall be payable by a non-resident enterprise, for income derived from or accruing in China by its office or premises established in China, and for income derived from or accruing outside China for which the established office or premises has a de facto relationship. The corporate income tax shall be at the rate of 25%. The applicable tax rate for income of a non-resident enterprise under the provisions of the third paragraph of Article 3 shall be 20%. Corporate income tax for qualified small profit enterprises shall be at a reduced tax rate of 20%. Corporate income tax for key advanced and new technology enterprises supported by the State shall be at a reduced tax rate of 15%. On the other hand, the State Administration of Taxation provides certain specific criteria for determining whether the “de facto management body” of a PRC-controlled offshore enterprise is located in China. Simply speaking, the criteria is more focused on substantive rather than format. Pursuant to its Circular 82 of 2009, the criteria to determine “de facto management body” include:</w:t>
      </w:r>
    </w:p>
    <w:p>
      <w:pPr>
        <w:spacing w:after="0" w:line="4" w:lineRule="exact"/>
        <w:rPr>
          <w:sz w:val="20"/>
          <w:szCs w:val="20"/>
          <w:color w:val="auto"/>
        </w:rPr>
      </w:pPr>
    </w:p>
    <w:p>
      <w:pPr>
        <w:jc w:val="both"/>
        <w:ind w:firstLine="8"/>
        <w:spacing w:after="0" w:line="251"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 (d) more than half of the enterprise’s directors or senior management with voting rights habitually reside in the PRC. Furthermore, the SAT published Bulletin 45 in September 2011, which provides more guidance on the implementation of the definition and provides for procedures and administration details on determining resident status and administration on post-determination matters. However, the SAT Circular 82 and Bulletin 45 only apply to offshore enterprises controlled by PRC enterprises or PRC enterprise groups rather than those controlled by PRC individuals or foreign individuals. So far there is no further criteria passed yet and no applicable legal precedents either, therefore it remains unclear how the PRC tax authorities will determine the PRC tax resident treatment of a foreign company controlled by individuals. Under these existing criteria, it is unlikely that we will be classified as a PRC “resident enterprise” for PRC enterprise income tax purposes. If so, it would likely result in unfavorable tax consequences to our non-PRC shareholders and have a material adverse effect on our results of operations and the value of your investment.</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21, 2006, China and Hong Kong signed the Arrangement between Mainland China and Hong Kong SAR concerning Avoiding Double Taxation and Preventing Tax Evasion on Income. When a Chinese company distributes dividends to Hong Kong residents (beneficiary owners of dividends), if the recipient directly owns at least 25% of the equity interest in the above-mentioned Chinese company, the Chinese withholding tax rate is 5%, otherwise it is 10%. On October 14, 2019, the State Administration of Taxation promulgated the Announcement of State Taxation Administration on Promulgation of the Administrative Measures on Non-resident Taxpayers Enjoying Treaty Benefits, which stimulate that non-resident taxpayers claiming treaty benefits shall be handled in accordance with the principles of “self-assessment, claiming benefits, retention of the relevant materials for future inspection”. Where a non-resident taxpayer self-assesses and concludes that it satisfies the criteria for claiming treaty benefits, it may enjoy treaty benefits at the time of tax declaration or at the time of withholding through the withholding agent, simultaneously gather and retain the relevant materials pursuant to the provisions of these Measures for future inspection, and accept follow-up administration by the tax authorities.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directors and executive officers, including their ages as of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20" w:type="dxa"/>
            <w:vAlign w:val="bottom"/>
          </w:tcPr>
          <w:p>
            <w:pPr>
              <w:spacing w:after="0"/>
              <w:rPr>
                <w:sz w:val="21"/>
                <w:szCs w:val="21"/>
                <w:color w:val="auto"/>
              </w:rPr>
            </w:pPr>
          </w:p>
        </w:tc>
        <w:tc>
          <w:tcPr>
            <w:tcW w:w="628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Kit Shing, CHEUNG</w:t>
            </w:r>
          </w:p>
        </w:tc>
        <w:tc>
          <w:tcPr>
            <w:tcW w:w="24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220" w:type="dxa"/>
            <w:vAlign w:val="bottom"/>
            <w:tcBorders>
              <w:top w:val="single" w:sz="8" w:color="CCEEFF"/>
            </w:tcBorders>
            <w:shd w:val="clear" w:color="auto" w:fill="CCEEFF"/>
          </w:tcPr>
          <w:p>
            <w:pPr>
              <w:spacing w:after="0"/>
              <w:rPr>
                <w:sz w:val="21"/>
                <w:szCs w:val="21"/>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 and Chairman of the Board of Directors</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 Fai, TAM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Zhihan, LOU</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6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 DING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2"/>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37"/>
        </w:trPr>
        <w:tc>
          <w:tcPr>
            <w:tcW w:w="3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 K, THAKAR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6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Yeung Tak, CHEN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1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Kit Shing, CHEUNG </w:t>
      </w:r>
      <w:r>
        <w:rPr>
          <w:rFonts w:ascii="Times New Roman" w:cs="Times New Roman" w:eastAsia="Times New Roman" w:hAnsi="Times New Roman"/>
          <w:sz w:val="18"/>
          <w:szCs w:val="18"/>
          <w:color w:val="auto"/>
        </w:rPr>
        <w:t>is a Director, Chief Executive Officer and Chair of the board of the Company. Mr. Cheung is responsible for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strategy, overall management of our operations and business expansion. Mr. Cheung has over 7 years of experience in business management. Mr. Cheung joined Etoiles Consultancy in September 2023 and has become our Chief Executive Officer since February 2025. Since 2021, Mr. Cheung has been a project manager and director of Everway Creation Limited. From 2016 to 2021, Mr. Cheung was a senior relation manager of Industrial Bank Co., Ltd. From August 2022 to June 2023, Mr. Cheung was an executive director of Future World Holdings Limited (HKEx: 00572), a company listed on the Stock Exchange of Hong Kong Limited. Mr. Cheung obtained a bachelor’s degree in science from the University of Toronto in 2015.</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Hon Fai, TAM </w:t>
      </w:r>
      <w:r>
        <w:rPr>
          <w:rFonts w:ascii="Times New Roman" w:cs="Times New Roman" w:eastAsia="Times New Roman" w:hAnsi="Times New Roman"/>
          <w:sz w:val="18"/>
          <w:szCs w:val="18"/>
          <w:color w:val="auto"/>
        </w:rPr>
        <w:t>is the Chief Financial Officer of the Company. Mr. Tam has over 18 years of experience in the accounting, financing and auditing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Mr. Tam has become our Chief Financial Officer since February 2025. Since April 2023, Mr. Tam has been a company secretary of WK Group (Holdings) Limited (HKEx: 02535), a company listed on the Stock Exchange of Hong Kong Limited. Since June 2020, Mr. Tam has been a director of Marksman Services Group Limited. Since October 2020, Mr. Tam has been a director of IPA CPA Limited. From December 2020 to February 2022, Mr. Tam was a company secretary of Sino Vision Worldwide Holdings Limited, a company formerly listed on the Stock Exchange of Hong Kong. From August 2019 to September 2024, Mr. Tam was an independent non-executive director of China Next-Gen Commerce and Supply Chain Limited (HKEx: 03928), a company listed on the Stock Exchange of Hong Kong Limited. From January 2012 to November 2022, Mr. Tam was an audit partner of CTY &amp; Co., a CPA firm. From September 2006 to August 2011, Mr. Tam worked in the audit department of Deloitte Touche Tohmatsu. Mr. Tam obtained a bachelor’s degree of business administration in accounting from the Hong Kong University of Science and Technology in 2006. Mr. Tam has been a member of the Hong Kong Institute of Certified Public Accountants since January 2010 and is currently a fellow member of the Hong Kong Institute of Certified Public Accountants.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Zhihan, LOU </w:t>
      </w:r>
      <w:r>
        <w:rPr>
          <w:rFonts w:ascii="Times New Roman" w:cs="Times New Roman" w:eastAsia="Times New Roman" w:hAnsi="Times New Roman"/>
          <w:sz w:val="18"/>
          <w:szCs w:val="18"/>
          <w:color w:val="auto"/>
        </w:rPr>
        <w:t>is the Chief Operating Officer of the Company. Mr. Lou has over 5 years of experience in public relations, investor relations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industry. Mr. Lou has become our Chief Operating Officer since February 2025. Since February 2024, Mr. Lou has been the general manager of Etoiles Financial. From October 2023 to February 2024, Mr. Lou served as a consultant of Valuable Capital Limited, a company engaged in strategic consulting. From November 2019 to October 2023, Mr. Lou served as a deputy director of Wonderful Sky Financial Group Limited, a company engaged in initial public offering consultation and financial public relation. Mr. Lou obtained a masters of arts degree in communication from the Hong Kong Baptist University and a bachelor’s degree of broadcasting from the Zhejiang University of Technology in 2017 and 2016, respectively.</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Qi, DING </w:t>
      </w:r>
      <w:r>
        <w:rPr>
          <w:rFonts w:ascii="Times New Roman" w:cs="Times New Roman" w:eastAsia="Times New Roman" w:hAnsi="Times New Roman"/>
          <w:sz w:val="18"/>
          <w:szCs w:val="18"/>
          <w:color w:val="auto"/>
        </w:rPr>
        <w:t>has been our independent director since August 2025. Ms. Ding has over 30 years of experience in the financial services industry,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expertise in asset management, securities, investment banking, and commercial banking. Since June 2022, Ms. Ding has been an executive director and a responsible officer (Types 1, 4 and 9) of Huasheng Asset Management Limited. From October 2019 to December 2021, she served as the managing director and a responsible officer (Types 1, 4 and 9) of JX Securities (Hong Kong) Limited. Ms. Ding obtained a bachelor’s degree in international finance from the Central University of Finance and Economics in 1993. She is a holder of Type 1, 4, and 9 licenses issued by the Hong Kong Securities and Futures Commission and possesses senior executive qualifications for fund management in mainland China. We believe Ms. Ding is well qualified to serve on board of directors as an independent director based on her extensive work experience in various fields.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Raj K, THAKAR </w:t>
      </w:r>
      <w:r>
        <w:rPr>
          <w:rFonts w:ascii="Times New Roman" w:cs="Times New Roman" w:eastAsia="Times New Roman" w:hAnsi="Times New Roman"/>
          <w:sz w:val="18"/>
          <w:szCs w:val="18"/>
          <w:color w:val="auto"/>
        </w:rPr>
        <w:t>has been our independent director since August 2025. Mr. Thakar has over 10 years of experience in structured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securitization, and credit ratings. Since January 2018, Mr. Thakar has been serving as a senior associate in the Multifamily Capital Markets division at Freddie Mac. From November 2013 to December 2017, Mr. Thakar was a Structured Finance Ratings Analyst at S&amp;P Global Ratings in New York. Mr. Thakar received a bachelor’s degree in finance and management from the Leonard N. Stern School of Business at New York University in May 2013. We believe Mr. Thakar is well qualified to serve on board of directors as an independent director based on his extensive work experience in the financial field.</w:t>
      </w:r>
    </w:p>
    <w:p>
      <w:pPr>
        <w:spacing w:after="0" w:line="1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Yeung Tak, CHEN </w:t>
      </w:r>
      <w:r>
        <w:rPr>
          <w:rFonts w:ascii="Times New Roman" w:cs="Times New Roman" w:eastAsia="Times New Roman" w:hAnsi="Times New Roman"/>
          <w:sz w:val="18"/>
          <w:szCs w:val="18"/>
          <w:color w:val="auto"/>
        </w:rPr>
        <w:t>has been our independent director since August 2025. Mr. Chen has over 15 years of experience in auditing, accounting,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treasury, internal control, corporate governance, and company secretarial matters. He graduated from The Hong Kong Polytechnic University with a bachelor’s degree of arts in accountancy in December 2006. He has been a member of the Hong Kong Institute of Certified Public Accountants since January 2011 and was admitted as a fellow in September 2021. Mr. Chen is also a CPA (Practising) registered with the Accounting and Financial Reporting Council. From December 2017 to December 2021, he served as an independent non-executive director of AV Promotions Holdings Limited (HKEx: 8419), a company listed on the Stock Exchange of Hong Kong Limited. He is currently the company secretary of Kingland Group Holdings Limited (HKEx: 1751), a company listed on the Stock Exchange of Hong Kong Limited, and served as its executive director from May 2020 to June 2022. Mr. Chen also serves as an independent non-executive director of DT Capital Limited (HKEx: 356), WEIli Holdings Limited (HKEx: 2372), and Gain Plus Holdings Limited (HKEx: 9900), all of which being companies listed on the Stock Exchange of Hong Kong Limited. Additionally, he has been an independent director of Onion Global Limited, a company formerly listed on the New York Stock Exchange (NYSE: OG) and currently listed on the U.S. OTC Market (OTC: OGBLY) since March 2022. We believe Mr. Chen is well qualified to serve on board of directors as an independent director based on his extensive work experience in various fields.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there are no family relationships among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Chinese Communist Party Affiliations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the members of our board or the boards of our consolidated foreign operating entities are officials of the Chinese Communist Party (“CCP”).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members of our board or the boards of our consolidated foreign operating entities are or were members of, or affiliated with the CCP.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qualify as a “foreign private issuer” under the SEC rules and Nasdaq rules.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Also, we are not required to comply with Regulation FD, which restricts the selective disclosure of material information. However, we will file with the SEC, within 120 days after the end of each fiscal year, or such applicable time as required by the SEC, an annual report on Form 20-F containing financial statements audited by an independent registered public accounting firm, and we will submit to the SEC from time to time, on Form 6-K, reports of information that would likely be material to an investment decision in our Class A Ordinary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our home country corporate governance practices in lieu of certain of the rules in the Nasdaq Rule 5600 Series and Rule 5250(d), except that we must comply with Nasdaq’s Notification of Noncompliance requirement (Rule 5625), the Voting Rights requirement (Rule 5640), and that we have an audit committee that satisfies Rule 5605(c)(3), including having committee members that meet the independence requirements of Rule 5605(c)(2)(A)(ii). The exemptions are subject to our disclosure of which requirements we are not following and the equivalent Cayman Islands requirements. Below are some of the exemptions afforded to foreign private issuers under the Nasdaq rules:</w:t>
      </w:r>
    </w:p>
    <w:p>
      <w:pPr>
        <w:spacing w:after="0" w:line="187" w:lineRule="exact"/>
        <w:rPr>
          <w:sz w:val="20"/>
          <w:szCs w:val="20"/>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we disclose within four business days of any determination to grant a waiver of the code of business conduct and ethics to directors and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of directors be composed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a minimum of three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we hold annual shareholders’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of directors have a remuneration committee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director nominees are selected, or recommended for selection by our board of directors, either by</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89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constituting a majority of our board of directors’ independent directors in a vote in which only independent directors participate, or (ii) a committee comprised solely of independent directors and governed by a formal written charter or board resolution, as applicable, addressing the nomination process as adopted.</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comply with all of the rules generally applicable to U.S. domestic companies listed on the Nasdaq. We may in the future decide to use the foreign private issuer exemption with respect to some or all of the other Nasdaq corporate governance rules. We also intend to comply with Cayman Islands corporate governance requirements under the Companies Act applicable to us at the same time. If we rely on our home country corporate governance practices in lieu of certain of the rules of Nasdaq, our shareholders may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Insider Trading Policy and Executive Compensation Recovery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adopted (i) a Code of Business Conduct and Ethics; (ii) an Insider Trading Policy that applies to our Directors, officers, and employees, including our chief executive officer, chief financial officer, principal accounting officer or controller or persons performing similar functions; and (iii) Executive Compensation Recovery Policy that applies to our officers, and employees, including our chief executive officer, chief financial officer, principal accounting officer or controller or persons performing similar functions, (collectively the “Policies”). We intend to disclose any amendments to the Policies, and any waivers of the Policies for our Directors, executive officers and senior finance executives, on our website to the extent required by applicable U.S. federal securities laws and the corporate governance rules of Nasdaq.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four directors. A director who is, directly or indirectly, interested in a contract or transaction or proposed contract or transaction with our company shall declare the nature of his or her interest at a meeting of our directors. Subject to the Nasdaq rules and disqualification by the chairman of the relevant board meeting, a director may vote in respect of any contract or transaction or proposed contract or transaction notwithstanding that he or she may be interested therein provided the director discloses to his fellow directors the nature and extent of any material interests in respect of any contract or transaction or proposed contract or transaction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issue debentures, debenture stock, bonds, and other securities, whether outright or as collateral security for any debt, liability or obligation of our company or of any third party. None of our non-executive directors have a service contract with us that provides for benefits upon termination of service.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importance and benefit of having a board of directors composed of highly talented and experienced individuals having regard to the need to foster and promote diversity among board members with respect to attributes such as gender, ethnicity and other factors. In support of this goal, we will consider criteria that promote diversity, including with regard to gender, ethnicity, and other dimensions; and consider the level of representation of women on our board of directors along with other markers of diversity.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company of which more than 50% of the voting power held by a single entity is considered a “controlled company” under the Nasdaq rules. A controlled company is not required to comply with the Nasdaq corporate governance rules requiring a board of directors to have a majority of independent directors to have independent audit, compensation, and nominating and corporate governance committees. We are a “controlled company” as defined under the Nasdaq rules.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established three committees under the board of directors: an audit committee, a compensation committee, and a nominating and corporate governance committee. We expect to adopt a charter for each of the three committees. Each committee’s members and functions are described below.</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consists of Ms. Qi, DING, Mr. Raj K, THAKAR, and Mr. Yeung Tak, CHEN. Mr. Yeung Tak, CHEN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chairperson of our audit committee. We have determined that each of our audit committee members satisfies the “independence” requirements of Rule 5605(c)(2) of the Nasdaq rules and meets the independence standards under Rule 10A-3 under the Exchange Act. We have determined that Mr. Chen qualifies as an “audit committee financial expert” within the meaning of the SEC rules and possesses financial sophistication within the meaning of the Nasdaq rules. The audit committee will oversee our accounting and financial reporting processes and the audits of the financial statements of our company. The audit committee will be responsible for, among other things:</w:t>
      </w:r>
    </w:p>
    <w:p>
      <w:pPr>
        <w:spacing w:after="0" w:line="184" w:lineRule="exact"/>
        <w:rPr>
          <w:sz w:val="20"/>
          <w:szCs w:val="20"/>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Ms. Qi, DING, Mr. Raj K, THAKAR. Ms. Qi, DING will be the chairperson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We have determined that each of our compensation committee members satisfies the “independence” requirements of Rule 5605(a)(2) of the Nasdaq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85"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Ms. Qi, DING, Mr. Raj 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THAKAR, and Mr. Yeung Tak, CHEN. Mr. Raj K, THAKAR will be the chairperson of our nominating and corporate governance committee. We have determined that each of our nominating and corporate governance committee members satisfies the “independence” requirements of Rule 5605(a)(2) of the Nasdaq rules.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8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in regard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These include, among others (i) duty to act in good faith in what the director believes to be in the best interests of the company as a whole; (ii) duty to exercise powers for the purposes for which those powers were conferred and not for a collateral purpose; (iii) directors should not improperly fetter the exercise of future discretion; (iv) duty not to put themselves in a position in which there is a conflict between their duty to the company and their personal interests; and (v) duty to exercise independent judgment. In addition to the above, our directors also owe a duty to act with skill, care and diligence.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Directors and Officers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directors may be elected by a resolution of our board of directors or by an ordinary resolution of our shareholders. Our directors are not subject to a term of office and hold office until such time as they are removed from office by ordinary resolution of our shareholders, unless the director is appointed on such express terms that he or she shall automatically retire from office (unless he has sooner vacated office) at the next or a subsequent annual general meeting or upon any specified event or after any specified period. A director will cease to be a director automatically if, among other things, the director</w:t>
      </w:r>
    </w:p>
    <w:p>
      <w:pPr>
        <w:spacing w:after="0" w:line="3" w:lineRule="exact"/>
        <w:rPr>
          <w:sz w:val="20"/>
          <w:szCs w:val="20"/>
          <w:color w:val="auto"/>
        </w:rPr>
      </w:pPr>
    </w:p>
    <w:p>
      <w:pPr>
        <w:ind w:right="20" w:firstLine="8"/>
        <w:spacing w:after="0" w:line="260" w:lineRule="auto"/>
        <w:tabs>
          <w:tab w:leader="none" w:pos="2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has a receiving order made against him or suspends payment or compounds with his creditors, (ii) dies or becomes of unsound mind, (iii) resigns his or her office by notice in writing to our company, or (iv)is removed from office pursuant to our Amended Articles.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officers are selected by and serve at the discretion of our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 Officers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specific time period. We may terminate employment for cause for certain acts of executive officers, such as commission of any serious or persistent breach or non-observance of the terms and conditions of the employment, conviction of a criminal offense, willful disobedience of a lawful and reasonable order, fraud or dishonesty, receipt of bribery, or severe neglect of his or her duties. We may also terminate an executive officer’s employment without cause upon providing three-months advance written notice. An executive officer may resign anytime with a three-month advance written notice.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during his or her employment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customers, or the confidential or proprietary information of any third party received by us and for which we have confidential obligations.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also enter into indemnification agreements with each of our directors and executive officers. Under these agreements, we will agree to indemnify our directors and executive officers against certain liabilities and expenses incurred by such person in connection with claims made by reason of their being a director or officer of our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our employment agreement with our Chief Executive Officer, Kit Shing, CHEUNG, to become effective as of the effective date of the registration statement of which this prospectus forms a part, we agreed that, for a three-year term, unless terminated earlier in accordance with its terms, we will pay Mr. Cheung an annual salary of $153,840. Mr. Cheung will be provided with standard executive benefits. The Company will also provide standard indemnification and directors’ and officers’ insurance. The Company may terminate Mr. Cheung’s employment by giving at least three months’ written notice. All other compensation shall cease as of the date of termination and the Company shall pay all previously earned, accrued and unpaid compensation. Mr. Cheung is also subject to standard confidentiality provision.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our employment agreement with our Chief Financial Officer, Hon Fai, TAM, to become effective as of the effective date of the registration statement of which this prospectus forms a part, we agreed that, for a three-year term, unless terminated earlier in accordance with its terms, we will pay Mr. Tam an annual salary of $36,000. Mr. Tam will be provided with standard executive benefits. The Company will also provide standard indemnification and directors’ and officers’ insurance. The Company may terminate Mr. Tam’s employment by giving at least three months’ written notice. All other compensation shall cease as of the date of termination and the Company shall pay all previously earned, accrued and unpaid compensation. Mr. Tam is also subject to standard confidentiality provision.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our employment agreement with our Chief Operating Officer, Zhihan, LOU, to become effective as of the effective date of the registration statement of which this prospectus forms a part, we agreed that, for a three-year term, unless terminated earlier in accordance with its terms, we will pay Mr. Lou an annual salary of nil. Mr. Lou will be provided with standard executive benefits. The Company will also provide standard indemnification and directors’ and officers’ insurance. The Company may terminate Mr. Lou’s employment by giving at least three months’ written notice. All other compensation shall cease as of the date of termination and the Company shall pay all previously earned, accrued and unpaid compensation. Mr. Lou is also subject to standard confidentiality provision.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or executive officers has, during the past 10 years, been involved in any legal proceedings described in subparagraph (f) of Item 401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achieve board diversity through the consideration of a number of factors when selecting the candidates to our Board, including but not limited to gender, skills, age, professional experience, knowledge, cultural, education background, ethnicity and length of service. The ultimate decision of the appointment will be based on merit and the contribution which the selected candidates will bring to our board.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directors have a balanced mix of knowledge and skills. We have three independent directors with different industry backgrounds, representing a majority of the members of our board. We also achieved gender diversity by having two female directors out of the total of five directors (including independent directors). Our board is well balanced and diversified in alignment with the business development and strategy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so long as we qualify as a foreign private issuer, we are not required to comply with the proxy rules applicable to U.S. domestic companies, including the requirement applicable to emerging growth companies to disclose the compensation of our executive officers on an individual, rather than an aggregate, basis. For the years ended December 31, 2024 and 2023, we paid an aggregate compensation of HK$1,820,386 (approximately US$233,293) and HK$204,500 (approximately US$26,327), respectively, to our executive officers and directors. We have not set aside any amount to provide pension, retirement or other similar benefits to our executive officers and directors. We have also not made any agreements with our directors or executive officers to provide benefits upon termination of employment.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we have not adopted any equity compensation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2023, we had no outstanding equity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Class A Ordinary Shares and Class B Ordinary Shares as of the date of this prospectus by our officers, Directors, and 5% or greater beneficial owners of our Class A Ordinary Shares and Class B Ordinary Shares. There is no other person or group of affiliated persons known by us to beneficially own more than 5% of our Class A Ordinary Shares and Class B Ordinary Shares. The following table assumes that none of our officers, Directors, or 5% or greater beneficial owners of our Class A Ordinary Shares and Class B Ordinary Shares will purchase shares in this Offering. In addition, the following table assumes that the Underwriter’s over-allotment option has not been exercised.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Class A Ordinary Shares are entitled to one (1) vote per share and holders of our Class B Ordinary Shares are entitled to ten (10) votes per share. In no event shall Class A Ordinary Shares be convertible into Class B Ordinary Shares. Each Class B Ordinary Share is convertible into one fully paid Class A Ordinary Share at the option of the holder, at any time after issue and without the payment of any additional sum.</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As of the date of this prospectus, the percentage of Shares beneficially owned prior to this Offering is based on 20,110,000 Ordinary Shares, consisting of 15,110,000 Class A Ordinary Shares and 5,000,000 Class B Ordinary Shares outstanding as described in “Our Corporate History And Structure” section. None of the shareholders are located in the United States. We do not have any options or warrants that are outstanding. The percentage of Shares beneficially owned after this Offering is based on the number of Shares outstanding prior to this Offering plus the Class A Ordinary Shares that we are selling in this Offering, assuming the Underwriter does not exercise the over-allotment option, and the total and outstanding Class B Ordinary Shares.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subject to applicable community property laws.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Class A Ordinary</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2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Owned After This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Owned After This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Power</w:t>
            </w:r>
          </w:p>
        </w:tc>
      </w:tr>
      <w:tr>
        <w:trPr>
          <w:trHeight w:val="282"/>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Borders>
              <w:bottom w:val="single" w:sz="8" w:color="auto"/>
            </w:tcBorders>
            <w:gridSpan w:val="3"/>
          </w:tcPr>
          <w:p>
            <w:pPr>
              <w:jc w:val="center"/>
              <w:ind w:left="610"/>
              <w:spacing w:after="0" w:line="276"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Borders>
              <w:bottom w:val="single" w:sz="8" w:color="auto"/>
            </w:tcBorders>
            <w:gridSpan w:val="3"/>
          </w:tcPr>
          <w:p>
            <w:pPr>
              <w:jc w:val="center"/>
              <w:ind w:left="610"/>
              <w:spacing w:after="0" w:line="276"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7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Before This</w:t>
            </w:r>
          </w:p>
        </w:tc>
      </w:tr>
      <w:tr>
        <w:trPr>
          <w:trHeight w:val="250"/>
        </w:trPr>
        <w:tc>
          <w:tcPr>
            <w:tcW w:w="458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Name of Beneficial Owners</w:t>
            </w:r>
            <w:r>
              <w:rPr>
                <w:rFonts w:ascii="Times New Roman" w:cs="Times New Roman" w:eastAsia="Times New Roman" w:hAnsi="Times New Roman"/>
                <w:sz w:val="28"/>
                <w:szCs w:val="28"/>
                <w:b w:val="1"/>
                <w:bCs w:val="1"/>
                <w:color w:val="auto"/>
                <w:vertAlign w:val="superscript"/>
              </w:rPr>
              <w:t>(1)</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center"/>
              <w:ind w:right="180"/>
              <w:spacing w:after="0" w:line="243" w:lineRule="exact"/>
              <w:rPr>
                <w:sz w:val="20"/>
                <w:szCs w:val="20"/>
                <w:color w:val="auto"/>
              </w:rPr>
            </w:pPr>
            <w:r>
              <w:rPr>
                <w:rFonts w:ascii="Times New Roman" w:cs="Times New Roman" w:eastAsia="Times New Roman" w:hAnsi="Times New Roman"/>
                <w:sz w:val="17"/>
                <w:szCs w:val="17"/>
                <w:b w:val="1"/>
                <w:bCs w:val="1"/>
                <w:color w:val="auto"/>
                <w:w w:val="99"/>
              </w:rPr>
              <w:t xml:space="preserve">Offering </w:t>
            </w:r>
            <w:r>
              <w:rPr>
                <w:rFonts w:ascii="Times New Roman" w:cs="Times New Roman" w:eastAsia="Times New Roman" w:hAnsi="Times New Roman"/>
                <w:sz w:val="28"/>
                <w:szCs w:val="28"/>
                <w:b w:val="1"/>
                <w:bCs w:val="1"/>
                <w:color w:val="auto"/>
                <w:w w:val="99"/>
                <w:vertAlign w:val="superscript"/>
              </w:rPr>
              <w:t>(2)</w:t>
            </w:r>
          </w:p>
        </w:tc>
      </w:tr>
      <w:tr>
        <w:trPr>
          <w:trHeight w:val="216"/>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4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Kit Shing, CHEUNG</w:t>
            </w:r>
            <w:r>
              <w:rPr>
                <w:rFonts w:ascii="Times New Roman" w:cs="Times New Roman" w:eastAsia="Times New Roman" w:hAnsi="Times New Roman"/>
                <w:sz w:val="29"/>
                <w:szCs w:val="29"/>
                <w:color w:val="auto"/>
                <w:vertAlign w:val="superscript"/>
              </w:rPr>
              <w:t>(3)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10,287,000</w:t>
            </w:r>
          </w:p>
        </w:tc>
        <w:tc>
          <w:tcPr>
            <w:tcW w:w="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3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 Fai, TAM</w:t>
            </w: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Zhihan, LOU</w:t>
            </w: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 DING</w:t>
            </w: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 K, THAKAR</w:t>
            </w: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Yeung Tak, CHEN</w:t>
            </w: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10,287,000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3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92.59%</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39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Etoiles Zeneo Investment Limited</w:t>
            </w:r>
            <w:r>
              <w:rPr>
                <w:rFonts w:ascii="Times New Roman" w:cs="Times New Roman" w:eastAsia="Times New Roman" w:hAnsi="Times New Roman"/>
                <w:sz w:val="29"/>
                <w:szCs w:val="29"/>
                <w:color w:val="auto"/>
                <w:vertAlign w:val="superscript"/>
              </w:rPr>
              <w:t>(3)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10,287,000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3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92.59%</w:t>
            </w:r>
          </w:p>
        </w:tc>
      </w:tr>
    </w:tbl>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prospectus, none of our outstanding Shares are held by record holders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340" w:hanging="332"/>
        <w:spacing w:after="0" w:line="250"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Unit 03-04, 25/F, Cosco Tower, 183 Queen’s Road Central, Sheung Wan, Hong Kong.</w:t>
      </w:r>
    </w:p>
    <w:p>
      <w:pPr>
        <w:ind w:left="340" w:hanging="332"/>
        <w:spacing w:after="0" w:line="250"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of ownership is based on 20,110,000 Ordinary Shares, consisting of 15,110,000 Class A Ordinary Shares and 5,000,000 Class B Ordinary Shares outstanding immediately after this Offering, assuming the Underwriter does not exercise the over-allotment option.</w:t>
      </w:r>
    </w:p>
    <w:p>
      <w:pPr>
        <w:jc w:val="both"/>
        <w:ind w:left="340" w:hanging="332"/>
        <w:spacing w:after="0" w:line="255"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10,287,000 Class A Ordinary Shares and 5,000,000 Class B Ordinary Shares owned by Etoiles Zeneo Investment Limited, which entities are all wholly-owned by Mr. Kit Shing, CHEUNG. Therefore, Mr. Kit Shing, CHEUNG has the voting and dispositive control over the shares held by each of these entities.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2720"/>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Certain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are our related party transactions that occurred since the beginning of the years ended December 31, 2024, 2023, and 2022. The “related party transactions” are transactions identified in accordance with the rules prescribed under Part I, Item 7B of SEC Form 20-F.</w:t>
      </w:r>
    </w:p>
    <w:p>
      <w:pPr>
        <w:spacing w:after="0" w:line="162"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7"/>
          <w:szCs w:val="17"/>
          <w:color w:val="auto"/>
        </w:rPr>
        <w:t>Under Part I, Item 7B of Form 20-F, the Company is required to disclose any transaction occurring since the beginning of the Company’s preceding two financial years, with respect to transactions or loans between the Company and (a) enterprises that directly or indirectly through one or more intermediaries, control or are controlled by, or are under common control with, the Company; (b) associates; (c) individuals owning, directly or indirectly, an interest in the voting power of the Company that gives them significant influence over the Company, and close members of any such individual’s family;</w:t>
      </w:r>
    </w:p>
    <w:p>
      <w:pPr>
        <w:spacing w:after="0" w:line="3" w:lineRule="exact"/>
        <w:rPr>
          <w:sz w:val="20"/>
          <w:szCs w:val="20"/>
          <w:color w:val="auto"/>
        </w:rPr>
      </w:pPr>
    </w:p>
    <w:p>
      <w:pPr>
        <w:jc w:val="both"/>
        <w:ind w:firstLine="8"/>
        <w:spacing w:after="0" w:line="253" w:lineRule="auto"/>
        <w:tabs>
          <w:tab w:leader="none" w:pos="28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management personnel, that is, those persons having authority and responsibility for planning, directing and controlling the activities of the Company, including directors and senior management of companies and close members of such individuals’ families; and (e) enterprises in which a substantial interest in the voting power is owned, directly or indirectly, by any person described in (c) or (d) or over which such a person is able to exercise significant influence.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adopted an audit committee charter, which will require the committee to review all related party transactions on an ongoing basis and all such transactions be approved by the audit committee. In determining whether to approve a related party transaction, the audit committee shall consider, among other factors, the following factors to the extent relevant to the related party transaction:</w:t>
      </w:r>
    </w:p>
    <w:p>
      <w:pPr>
        <w:spacing w:after="0" w:line="176"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related party transaction are fair to the Company and on the same basis as would apply if the transaction did not involve a related party;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business reasons for the Company to enter into the related party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party transaction would impair the independence of an outside director;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related party transaction would present an improper conflict of interest for any director or executive officer of the Company, taking into account the size of the transaction, the overall financial position of the director, executive officer or the related party, the direct or indirect nature of the director’s, executive officer’s or the related party’s interest in the transaction and the ongoing nature of any proposed relationship, and any other factors the audit committee deems relevant; and</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pre-existing contractual obligations.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Summary of Balances with Related Parties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 due from (to) a director</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Mr. Kit Shing, CHEUNG</w:t>
            </w:r>
          </w:p>
        </w:tc>
        <w:tc>
          <w:tcPr>
            <w:tcW w:w="11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82"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advanced to (by) a director. Amount due from (to) a director is non-trade, unsecured, non-interest bearing and repayable on demand. Subsequent to the year end, the balance was fully settled on May 9, 2025.</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Related Party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trade transactions with related parties for years ended December 31, 2024, 2023 and 2022 are listed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Salary paid to a related party:</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56"/>
        </w:trPr>
        <w:tc>
          <w:tcPr>
            <w:tcW w:w="7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Mr. Kit Shing, CHEUNG</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153,787</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25,545</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On Ki, CHEUNG</w:t>
            </w:r>
            <w:r>
              <w:rPr>
                <w:rFonts w:ascii="Times New Roman" w:cs="Times New Roman" w:eastAsia="Times New Roman" w:hAnsi="Times New Roman"/>
                <w:sz w:val="29"/>
                <w:szCs w:val="29"/>
                <w:color w:val="auto"/>
                <w:vertAlign w:val="superscript"/>
              </w:rPr>
              <w:t>(2)</w:t>
            </w:r>
          </w:p>
        </w:tc>
        <w:tc>
          <w:tcPr>
            <w:tcW w:w="2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32,039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Kit Shing, CHEUNG is the director and a principal shareholder of the Company.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On Ki, CHEUNG, is a close family member of a director, Mr. Kit Shing, CHEUNG.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 of the Selling Shareholder, the number of Ordinary Shares owned by each of the Selling Shareholders immediately prior to the date of this Resale Prospectus and the number of shares to be offered by the Selling Shareholders pursuant to this Resale Prospectus. The table also provides information regarding the beneficial ownership of our Ordinary Shares by the Selling Shareholders as adjusted to reflect the assumed sale of all of the shares offered under this Resale Prospectus..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Applicable percentage of ownership is based on 20,110,000 Ordinary Shares, consisting of 15,110,000 Class A Ordinary Shares and 5,000,000 Class B Ordinary Shares outstanding immediately after the offering.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her or it, subject to applicable community property laws.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25"/>
        </w:trPr>
        <w:tc>
          <w:tcPr>
            <w:tcW w:w="28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r>
      <w:tr>
        <w:trPr>
          <w:trHeight w:val="216"/>
        </w:trPr>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 A</w:t>
            </w:r>
          </w:p>
        </w:tc>
      </w:tr>
      <w:tr>
        <w:trPr>
          <w:trHeight w:val="216"/>
        </w:trPr>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16"/>
        </w:trPr>
        <w:tc>
          <w:tcPr>
            <w:tcW w:w="2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Owned Prior</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Shares Prior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to be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After</w:t>
            </w:r>
          </w:p>
        </w:tc>
      </w:tr>
      <w:tr>
        <w:trPr>
          <w:trHeight w:val="277"/>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Resale Shareholders</w:t>
            </w: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to Offering</w:t>
            </w:r>
            <w:r>
              <w:rPr>
                <w:rFonts w:ascii="Times New Roman" w:cs="Times New Roman" w:eastAsia="Times New Roman" w:hAnsi="Times New Roman"/>
                <w:sz w:val="29"/>
                <w:szCs w:val="29"/>
                <w:b w:val="1"/>
                <w:bCs w:val="1"/>
                <w:color w:val="auto"/>
                <w:w w:val="94"/>
                <w:vertAlign w:val="superscript"/>
              </w:rPr>
              <w:t>(1)</w:t>
            </w:r>
          </w:p>
        </w:tc>
        <w:tc>
          <w:tcPr>
            <w:tcW w:w="24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to Offering</w:t>
            </w:r>
            <w:r>
              <w:rPr>
                <w:rFonts w:ascii="Times New Roman" w:cs="Times New Roman" w:eastAsia="Times New Roman" w:hAnsi="Times New Roman"/>
                <w:sz w:val="29"/>
                <w:szCs w:val="29"/>
                <w:b w:val="1"/>
                <w:bCs w:val="1"/>
                <w:color w:val="auto"/>
                <w:w w:val="96"/>
                <w:vertAlign w:val="superscript"/>
              </w:rPr>
              <w:t>(1)</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(1)</w:t>
            </w:r>
          </w:p>
        </w:tc>
        <w:tc>
          <w:tcPr>
            <w:tcW w:w="100" w:type="dxa"/>
            <w:vAlign w:val="bottom"/>
            <w:tcBorders>
              <w:bottom w:val="single" w:sz="8" w:color="CCEEFF"/>
            </w:tcBorders>
          </w:tcPr>
          <w:p>
            <w:pPr>
              <w:spacing w:after="0"/>
              <w:rPr>
                <w:sz w:val="24"/>
                <w:szCs w:val="24"/>
                <w:color w:val="auto"/>
              </w:rPr>
            </w:pPr>
          </w:p>
        </w:tc>
      </w:tr>
      <w:tr>
        <w:trPr>
          <w:trHeight w:val="257"/>
        </w:trPr>
        <w:tc>
          <w:tcPr>
            <w:tcW w:w="4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Doublefortuna Company Limited </w:t>
            </w:r>
            <w:r>
              <w:rPr>
                <w:rFonts w:ascii="Times New Roman" w:cs="Times New Roman" w:eastAsia="Times New Roman" w:hAnsi="Times New Roman"/>
                <w:sz w:val="29"/>
                <w:szCs w:val="29"/>
                <w:color w:val="auto"/>
                <w:vertAlign w:val="superscript"/>
              </w:rPr>
              <w:t>(3)</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661,500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Easy Cargo Management Inc </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621,000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Enbo Holdings Group Limited </w:t>
            </w:r>
            <w:r>
              <w:rPr>
                <w:rFonts w:ascii="Times New Roman" w:cs="Times New Roman" w:eastAsia="Times New Roman" w:hAnsi="Times New Roman"/>
                <w:sz w:val="29"/>
                <w:szCs w:val="29"/>
                <w:color w:val="auto"/>
                <w:vertAlign w:val="superscript"/>
              </w:rPr>
              <w:t>(5)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634,500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La Dicha Group Limited</w:t>
            </w:r>
            <w:r>
              <w:rPr>
                <w:rFonts w:ascii="Times New Roman" w:cs="Times New Roman" w:eastAsia="Times New Roman" w:hAnsi="Times New Roman"/>
                <w:sz w:val="29"/>
                <w:szCs w:val="29"/>
                <w:color w:val="auto"/>
                <w:vertAlign w:val="superscript"/>
              </w:rPr>
              <w:t>(6)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634,500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Quantum Pinnacle Company Limited</w:t>
            </w:r>
            <w:r>
              <w:rPr>
                <w:rFonts w:ascii="Times New Roman" w:cs="Times New Roman" w:eastAsia="Times New Roman" w:hAnsi="Times New Roman"/>
                <w:sz w:val="29"/>
                <w:szCs w:val="29"/>
                <w:color w:val="auto"/>
                <w:vertAlign w:val="superscript"/>
              </w:rPr>
              <w:t>(7)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661,500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gridSpan w:val="3"/>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Less than 1%.</w:t>
            </w:r>
          </w:p>
        </w:tc>
        <w:tc>
          <w:tcPr>
            <w:tcW w:w="1800" w:type="dxa"/>
            <w:vAlign w:val="bottom"/>
            <w:gridSpan w:val="2"/>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3" w:lineRule="exact"/>
        <w:rPr>
          <w:sz w:val="20"/>
          <w:szCs w:val="20"/>
          <w:color w:val="auto"/>
        </w:rPr>
      </w:pPr>
    </w:p>
    <w:p>
      <w:pPr>
        <w:jc w:val="both"/>
        <w:ind w:left="340" w:hanging="332"/>
        <w:spacing w:after="0" w:line="258"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Ordinary Shares, or convertible or exercisable into our Ordinary Shares within 60 days of the date hereof are deemed outstanding. Such shares, however, are not deemed outstanding for the purposes of computing the percentage ownership of any other person. Except as indicated in the footnotes to the following table, each stockholder named in the table has sole voting and investment power with respect to the shares set forth opposite such stockholder’s name.</w:t>
      </w:r>
    </w:p>
    <w:p>
      <w:pPr>
        <w:spacing w:after="0" w:line="183"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do not have the ability to control how many, if any, of the Class A Ordinary Shares held by the Resale Shareholders will be sold, we have assumed that they will sell all of their shares offered herein for purposes of determining how many shares they will own after the offering and their percentage of ownership following the offering.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Tianyu, SHANG owns and controls Doublefortuna Company Limited, a company incorporated under the laws of the BVI with its registered office address at Ritter House, Wickhams Cay II, PO Box 3170, Road Town, Tortola VG1110, British Virgin Islands, Tianyu, SHANG therefore has sole voting and dispositive power over the Class A Ordinary Shares beneficially owned by Doublefortuna Company Limited.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Clarence Ming Kei, CHAN owns and controls Easy Cargo Management Inc, a company incorporated under the laws of the BVI with its registered office address at Ritter House, Wickhams Cay II, PO Box 3170, Road Town, Tortola VG1110, British Virgin Islands, Clarence Ming Kei, CHAN therefore has sole voting and dispositive power over the Class A Ordinary Shares beneficially owned by Easy Cargo Management Inc.</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Lam, CHAN owns and controls Enbo Holdings Group Limited, a company incorporated under the laws of the BVI with its registered office address at Ritter House, Wickhams Cay II, PO Box 3170, Road Town, Tortola VG1110, British Virgin Islands, Lam, CHAN therefore has sole voting and dispositive power over the Class A Ordinary Shares beneficially owned by Enbo Holdings Group Limited.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Hung Yim, TSEUNG owns and controls La Dicha Group Limited, a company incorporated under the laws of the BVI with its registered office address at Ritter House, Wickhams Cay II, PO Box 3170, Road Town, Tortola VG1110, British Virgin Islands, Hung Yim, TSEUNG therefore has sole voting and dispositive power over the Class A Ordinary Shares beneficially owned by La Dicha Group Limited.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Xiao, LIU owns and controls Quantum Pinnacle Company Limited, a company incorporated under the laws of the BVI with its registered office address at Ritter House, Wickhams Cay II, PO Box 3170, Road Town, Tortola VG1110, British Virgin Islands, Xiao, LIU therefore has sole voting and dispositive power over the Class A Ordinary Shares beneficially owned by Quantum Pinnacle Company Limited.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Shareholders and any of their pledgees, donees, assignees and successors-in-interest may, from time to time, sell any or all of his Class A Ordinary Shares being offered under this Resale Prospectus on any stock exchange, market or trading facility on which shares of our Class A Ordinary Shares are traded or in private transactions. These sales may be at fixed or negotiated prices. The Selling Shareholders may use any one or more of the following methods when disposing of shares:</w:t>
      </w:r>
    </w:p>
    <w:p>
      <w:pPr>
        <w:spacing w:after="0" w:line="180"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Resale Shareholders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shares may also be sold under Rule 144 under the Securities Act of 1933, as amended, if available for the Selling Shareholder, rather than under this Resale Prospectus. The Selling Shareholders has the sole and absolute discretion not to accept any purchase offer or make any sale of shares if they deem the purchase price to be unsatisfactory at any particular time.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may pledge their shares to their brokers under the margin provisions of customer agreements. If the Selling Shareholders defaults on a margin loan, the broker may, from time to time, offer and sell the pledged shares.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broker-dealers to participate in sales. Broker-dealers may receive commissions or discounts from the Selling Shareholders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sales of shares offered under this Resale Prospectus are made to broker-dealers as principals, we would be required to file a post-effective amendment to the registration statement of which this Resale Prospectus is a part. In the post-effective amendment, we would be required to disclose the names of any participating broker-dealers and the compensation arrangements relating to such sales.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the shares offered under this Resale Prospectus may be deemed to be “underwriters” within the meaning of the Securities Act in connection with these sales. Commissions received by these broker-dealers or agents and any profit on the resale of the shares purchased by them may be deemed to be underwriting discount under the Securities Act. Any broker-dealers or agents that are deemed to be underwriters may not sell shares offered under this Resale Prospectus unless and until we set forth the names of the underwriters and the material details of their underwriting arrangements in a supplement to this Resale Prospectus or, if required, in a replacement resale prospectus included in a post-effective amendment to the registration statement of which this Resale Prospectus is a 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Shareholders and any other persons participating in the sale or distribution of the shares offered under this Resale Prospectus will be subject to applicable provisions of the Exchange Act, and the rules and regulations under that act, including Regulation M. These provisions may restrict activities of, and limit the timing of purchases and sales of any of the shares by, the Selling Shareholders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Rule 2710 requires members firms to satisfy the filing requirements of Rule 2710 in connection with the resale, on behalf of Selling Shareholder, of the securities on a principal or agency basis. NASD Notice to Members 88-101 states that in the event the Selling Shareholders intends to sell any of their shares registered for resale in this Resale Prospectus through a member of FINRA participating in a distribution of our securities, such member is responsible for insuring that a timely filing, if required, is first made with the Corporate Finance Department of FINRA and disclosing to FINRA the following:</w:t>
      </w:r>
    </w:p>
    <w:p>
      <w:pPr>
        <w:spacing w:after="0" w:line="183" w:lineRule="exact"/>
        <w:rPr>
          <w:sz w:val="20"/>
          <w:szCs w:val="20"/>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intends to take possession of the registered securities or to facilitate the transfer of such certificates;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details of how the Selling Shareholder’ shares are and will be held, including location of the particular accounts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member firm or any direct or indirect affiliates thereof have entered into, will facilitate or otherwise participate in any type of payment transaction with the Selling Shareholder, including details regarding any such transactions;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of the securities offered by the Selling Shareholders are sold, transferred, assigned or hypothecated by any Selling Shareholders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 FINRA member firm may receive compensation in excess of that allowable under FINRA rules, including Rule 2710, in connection with the resale of the securities by the Selling Shareholder. If any of the Class A Ordinary Shares offered for sale pursuant to this Resale Prospectus are transferred other than pursuant to a sale under this Resale Prospectus, then subsequent holders could not use this Resale Prospectus until a post-effective amendment or prospectus supplement is filed, naming such holders. We offer no assurance as to whether any of the Selling Shareholders will sell all or any portion of the shares offered under this Resale Prospectus.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agreed to pay all fees and expenses we incur incident to the registration of the shares being offered under this Resale Prospectus. However, each Selling Shareholders and purchaser is responsible for paying any discount, and similar selling expenses they incur.</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and the Selling Shareholders have agreed to indemnify one another against certain losses, damages and liabilities arising in connection with this Resale Prospectus, including liabilities under the Securities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Amended Memorandum and Articles, as amended from time to time, and the Companies Act (As Revised) of the Cayman Islands, which we refer to as the Companies Act below, and the common law of Cayman Islands.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share capital of the Company consists of Ordinary Shares. As of the date hereof, our authorized share capital is US$50,000 divided into 500,000,000 Ordinary Shares of par value US$0.0001 each, comprising of (i) 450,000,000 Class A Ordinary Shares of nominal or par value of US$0.0001 each, and (ii) 50,000,000 Class B Ordinary Shares of nominal or par value US$0.0001 each. As of the date of this prospectus, 15,110,000 Class A Ordinary Shares and 5,000,000 Class B Ordinary Shares were issued and outstanding.</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Amended Memorandum and Articles (each the Amended Memorandum and the Amended Articles) and the Companies Act insofar as they relate to the material terms of our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Current Amended Memorandum and Articles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Objects of our Company. </w:t>
      </w:r>
      <w:r>
        <w:rPr>
          <w:rFonts w:ascii="Times New Roman" w:cs="Times New Roman" w:eastAsia="Times New Roman" w:hAnsi="Times New Roman"/>
          <w:sz w:val="18"/>
          <w:szCs w:val="18"/>
          <w:color w:val="auto"/>
        </w:rPr>
        <w:t>Under our Amended Memorandum and Articles, the objects of our Company are unrestricted and we have the full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authority to carry out any object not prohibited by the laws of the Cayman Islands.</w:t>
      </w:r>
    </w:p>
    <w:p>
      <w:pPr>
        <w:spacing w:after="0" w:line="158" w:lineRule="exact"/>
        <w:rPr>
          <w:sz w:val="20"/>
          <w:szCs w:val="20"/>
          <w:color w:val="auto"/>
        </w:rPr>
      </w:pPr>
    </w:p>
    <w:p>
      <w:pPr>
        <w:ind w:left="340"/>
        <w:spacing w:after="0"/>
        <w:tabs>
          <w:tab w:leader="none" w:pos="1760" w:val="left"/>
        </w:tabs>
        <w:rPr>
          <w:sz w:val="20"/>
          <w:szCs w:val="20"/>
          <w:color w:val="auto"/>
        </w:rPr>
      </w:pPr>
      <w:r>
        <w:rPr>
          <w:rFonts w:ascii="Times New Roman" w:cs="Times New Roman" w:eastAsia="Times New Roman" w:hAnsi="Times New Roman"/>
          <w:sz w:val="18"/>
          <w:szCs w:val="18"/>
          <w:i w:val="1"/>
          <w:iCs w:val="1"/>
          <w:color w:val="auto"/>
        </w:rPr>
        <w:t>Ordinary Shares.</w:t>
      </w:r>
      <w:r>
        <w:rPr>
          <w:sz w:val="20"/>
          <w:szCs w:val="20"/>
          <w:color w:val="auto"/>
        </w:rPr>
        <w:tab/>
      </w:r>
      <w:r>
        <w:rPr>
          <w:rFonts w:ascii="Times New Roman" w:cs="Times New Roman" w:eastAsia="Times New Roman" w:hAnsi="Times New Roman"/>
          <w:sz w:val="18"/>
          <w:szCs w:val="18"/>
          <w:color w:val="auto"/>
        </w:rPr>
        <w:t>Our authorized share capital is US$50,000 divided into 500,000,000 Ordinary Shares of par value US$0.0001 each, comprising of</w:t>
      </w:r>
    </w:p>
    <w:p>
      <w:pPr>
        <w:spacing w:after="0" w:line="29" w:lineRule="exact"/>
        <w:rPr>
          <w:sz w:val="20"/>
          <w:szCs w:val="20"/>
          <w:color w:val="auto"/>
        </w:rPr>
      </w:pPr>
    </w:p>
    <w:p>
      <w:pPr>
        <w:jc w:val="both"/>
        <w:ind w:firstLine="8"/>
        <w:spacing w:after="0" w:line="255" w:lineRule="auto"/>
        <w:tabs>
          <w:tab w:leader="none" w:pos="2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450,000,000 Class A Ordinary Shares of nominal or par value of US$0.0001 each, and (ii) 50,000,000 Class B Ordinary Shares of nominal or par value US$0.0001 each. All of our outstanding Ordinary Shares are fully paid and non-assessable. Certificates representing the Ordinary Shares are issued in registered form.</w:t>
      </w:r>
    </w:p>
    <w:p>
      <w:pPr>
        <w:spacing w:after="0" w:line="18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In no event shall Class A Ordinary Shares be convertible into Class B Ordinary Shares. Each Class B Ordinary Share is convertible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fully paid Class A Ordinary Share at the option of the holder, at any time after issue and without the payment of any additional sum.</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out of any funds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lawfully available for distribution. In addition, our Shareholders may declare dividends by ordinary resolution, but not dividend shall exceed the amount recommended by our directors. Under the laws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 .</w:t>
      </w:r>
    </w:p>
    <w:p>
      <w:pPr>
        <w:spacing w:after="0" w:line="18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Class A Ordinary Shares and Class B Ordinary Shares shall, at all times, vote together as one class on all matters submitted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 vote by the members at any general meeting of the Company.</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our Ordinary Shares may vote on all matters submitted to a vote of our shareholders, except as may otherwise be required by law. Subject to any rights or restrictions as to voting attached to any shares, on a poll every shareholder present in person or by proxy (or, if a corporation or other non-natural person, by its duly authorized representative or proxy) shall have one vote for each Class A Ordinary Share and 10 votes for each Class B Ordinary Share of which he or the person represented by proxy is the holder.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Voting at any meeting of shareholders is by a poll. A poll shall be taken in such manner as the chairman directs. He may appoint scrutineers (who need not be shareholders)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ordinary resolution is a resolution passed by a simple majority of the votes of the shareholders as, being entitled to do so, vote in person or by proxy at a general meeting of our Company and includes a written resolution signed by the required majority of shareholders according to the Amended Articles. Any special resolution is a resolution of a general meeting or a resolution of a meeting of the holders of any class of ordinary shares in a class meeting duly constituted in accordance with the Amended Articles in each case passed by a majority of not less than two-thirds of the votes by the shareholders as being entitled to do so vote in person or by proxy at that meeting. The expression includes a unanimous written resolution signed by all of the shareholders entitled to vote at such meeting.</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amending our memorandum and articles of association or changing the name of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no limitations on non-residents or foreign shareholders to hold or exercise voting rights on the Ordinary Shares imposed by Cayman Islands law or by the Amended Memorandum and Articles or other constituent document of our Company. However, no person will be entitled to vote at any general meeting or at any separate meeting of the holders of the Ordinary Shares unless the person is registered as of the record date for such meeting and unless all calls or other sums presently payable by the person in respect of Ordinary Shares in the Company have been paid.</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Meetings of Shareholders. </w:t>
      </w:r>
      <w:r>
        <w:rPr>
          <w:rFonts w:ascii="Times New Roman" w:cs="Times New Roman" w:eastAsia="Times New Roman" w:hAnsi="Times New Roman"/>
          <w:sz w:val="18"/>
          <w:szCs w:val="18"/>
          <w:color w:val="auto"/>
        </w:rPr>
        <w:t>As a Cayman Islands exempted company, we are not obliged by the Companies Act to call shareholders’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meetings. Our Amended Memorandum and Articles provide that we may (but are not obliged to, unless required by the Nasdaq rules) in each year hold a general meeting as an annual general meeting, which, if held, shall be convened by the board of directors, in accordance with the Amended Articles Each general meeting, other than an annual general meeting, shall be an extraordinary general meeting.</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Advance notice of at least five clear days is required for the convening of our annual general shareholders’ meeting (if any) and any other general meeting of our Shareholders. A quorum required for a meeting of shareholders consists of at least one holder of Shares being not less than an aggregate of one-third of the outstanding shares carrying the right to vote at such general meeting.</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majority of our directors may call general meetings and they shall on a shareholders’ requisition forthwith proceed to convene an extraordinary general meeting of our Company. A shareholders’ requisition is a request of one or more shareholders holding as at the date of deposit of the request in aggregate not less than ten percent of the rights to vote at such general meeting. The requisition must state the objects of the meeting and must be signed by or on behalf of each requisitioner and delivered in accordance with the notice provisions of our Amended Articles. If our directors do not within 21 clear days from the receipt of the requisition duly proceed to convene a general meeting, the requisitioners, or any of them may themselves convene a general meeting, but any meeting so convened must be called no later than three months after the expiration of the said 21 clear day period.</w:t>
      </w:r>
    </w:p>
    <w:p>
      <w:pPr>
        <w:spacing w:after="0" w:line="185" w:lineRule="exact"/>
        <w:rPr>
          <w:sz w:val="20"/>
          <w:szCs w:val="20"/>
          <w:color w:val="auto"/>
        </w:rPr>
      </w:pPr>
    </w:p>
    <w:p>
      <w:pPr>
        <w:ind w:left="340"/>
        <w:spacing w:after="0"/>
        <w:tabs>
          <w:tab w:leader="none" w:pos="2500" w:val="left"/>
        </w:tabs>
        <w:rPr>
          <w:sz w:val="20"/>
          <w:szCs w:val="20"/>
          <w:color w:val="auto"/>
        </w:rPr>
      </w:pPr>
      <w:r>
        <w:rPr>
          <w:rFonts w:ascii="Times New Roman" w:cs="Times New Roman" w:eastAsia="Times New Roman" w:hAnsi="Times New Roman"/>
          <w:sz w:val="18"/>
          <w:szCs w:val="18"/>
          <w:i w:val="1"/>
          <w:iCs w:val="1"/>
          <w:color w:val="auto"/>
        </w:rPr>
        <w:t>Winding Up; Liquidation.</w:t>
      </w:r>
      <w:r>
        <w:rPr>
          <w:sz w:val="20"/>
          <w:szCs w:val="20"/>
          <w:color w:val="auto"/>
        </w:rPr>
        <w:tab/>
      </w:r>
      <w:r>
        <w:rPr>
          <w:rFonts w:ascii="Times New Roman" w:cs="Times New Roman" w:eastAsia="Times New Roman" w:hAnsi="Times New Roman"/>
          <w:sz w:val="18"/>
          <w:szCs w:val="18"/>
          <w:color w:val="auto"/>
        </w:rPr>
        <w:t>If we are wound up the shareholders may, subject to the Amended Articles and any other sanction required 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Act, pass a special resolution allowing the liquidator to do either or both of the following:</w:t>
      </w:r>
    </w:p>
    <w:p>
      <w:pPr>
        <w:spacing w:after="0" w:line="207"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shareholders the whole or any part of the assets of the Company and, for that purpose, to value any assets and to determine how the division shall be carried out as between the shareholders or different classes of shareholders; and/or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shareholders and those liable to contribute to the winding up.</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the terms of the allotment, our directors may from time to time make calls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our shareholders in respect of any moneys unpaid on their shares in a notice served to such shareholders at least 14 clear days in advance specifying the time and place for payment. Any Ordinary Shares that have been called upon and remain unpaid are subject to forfeiture.</w:t>
      </w:r>
    </w:p>
    <w:p>
      <w:pPr>
        <w:spacing w:after="0" w:line="17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Redemption, Repurchase and Surrender of Shares. </w:t>
      </w:r>
      <w:r>
        <w:rPr>
          <w:rFonts w:ascii="Times New Roman" w:cs="Times New Roman" w:eastAsia="Times New Roman" w:hAnsi="Times New Roman"/>
          <w:sz w:val="18"/>
          <w:szCs w:val="18"/>
          <w:color w:val="auto"/>
        </w:rPr>
        <w:t>Subject to the terms of the Companies Act and to any rights for the time being conferred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holding a particular class of shares, the Company may by our board of directors: (i) issue shares that are to be redeemed or liable to be redeemed, at the option of the Company or the shareholder holding those redeemable shares, on the terms and in the manner our board of directors determine before the issue of those shares; (ii) with the consent by special resolution of the shareholders holding shares of a particular class, vary the rights attaching to that class of shares so as to provide that those shares are to be redeemed or are liable to be redeemed at the option of the Company on the terms and in the manner which the board of directors determine at the time of such variation; and (iii) purchase all or any of our own shares of any class including any redeemable shares on the terms and in the manner which our board of directors determine at the time of such purchase.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w:t>
      </w:r>
    </w:p>
    <w:p>
      <w:pPr>
        <w:spacing w:after="0" w:line="6" w:lineRule="exact"/>
        <w:rPr>
          <w:sz w:val="20"/>
          <w:szCs w:val="20"/>
          <w:color w:val="auto"/>
        </w:rPr>
      </w:pPr>
    </w:p>
    <w:p>
      <w:pPr>
        <w:ind w:left="5540" w:right="880" w:hanging="5532"/>
        <w:spacing w:after="0" w:line="76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has commenced liquidation. In addition, our Company may accept the surrender of any fully paid share for no consideration.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Provided that such transfer complies with the Nasdaq rules, our shareholders may freely transfer shares to another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completing an instrument of transfer in a common form or in a form prescribed by the Nasdaq Capital Market (if such shares are listed on the Nasdaq Capital Market) or in any other form approved by our board of directors, executed:</w:t>
      </w:r>
    </w:p>
    <w:p>
      <w:pPr>
        <w:spacing w:after="0" w:line="17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fully paid, by or on behalf that shareholder;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shares are partly paid, by or on behalf of that shareholder and the transferee.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Where the shares of any class in question are not listed on any stock exchange or subject to the rules of any stock exchange, our board of directors may, in its absolute discretion, decline to register any transfer of any share that is not fully paid up or on which we have a lien. Our board of directors may also decline to register any transfer of any share unless:</w:t>
      </w:r>
    </w:p>
    <w:p>
      <w:pPr>
        <w:spacing w:after="0" w:line="176" w:lineRule="exact"/>
        <w:rPr>
          <w:sz w:val="20"/>
          <w:szCs w:val="20"/>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transferred are fully paid up and free of any lien in favour of our Company;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Capital Market may determine to be payable or such lesser sum as our directors may from time to time require is paid to us in respect thereof.</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one month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Nasdaq and on 14 clear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shall not be suspended nor the register closed for more than 30 calendar days in any year.</w:t>
      </w:r>
    </w:p>
    <w:p>
      <w:pPr>
        <w:spacing w:after="0" w:line="1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of shares then, unless the terms on which a class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was issued state otherwise, the rights attached to any such class may only be varied with: (a) the consent in writing of the holders of two-thirds of the issued shares of that class or (b) the sanction of a special resolution passed at a separate meeting of the holders of the shares of that class. The rights conferred upon the holders of the shares of any class issued shall not, unless otherwise expressly provided by the terms of issue of the shares of that class, be deemed to be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shares of that class.</w:t>
      </w:r>
    </w:p>
    <w:p>
      <w:pPr>
        <w:spacing w:after="0" w:line="1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our Amended Articles to inspect or obtain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our list of shareholders or our corporate records. However, we will provide our shareholders with annual audited financial statements. See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4" w:name="page85"/>
    <w:bookmarkEnd w:id="84"/>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Memorandum and Articles authorize our board of directors to issue additional Ordinary Shares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as our board of directors shall determine, to the extent of available authorized but unissued shares.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Issuance of additional Ordinary Shares may dilute the voting power of holders of Ordinary Shares.</w:t>
      </w:r>
    </w:p>
    <w:p>
      <w:pPr>
        <w:spacing w:after="0" w:line="22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Memorandum and Articles may discourage, delay or prevent a change of control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management that shareholders may consider favorable. Our authorized, but unissued Ordinary Shares are available for future issuance without shareholders’ approval and could be utilized for a variety of corporate purposes, including future offerings to raise addition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issue negotiable or bearer shares, but 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liability</w:t>
      </w:r>
      <w:r>
        <w:rPr>
          <w:rFonts w:ascii="Times New Roman" w:cs="Times New Roman" w:eastAsia="Times New Roman" w:hAnsi="Times New Roman"/>
          <w:sz w:val="18"/>
          <w:szCs w:val="18"/>
          <w:color w:val="auto"/>
        </w:rPr>
        <w:t>” means that the liability of each shareholder is limited to the amount unpaid by the shareholder on the shares of the company.</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Nomination and Removal of Directors and Filling Vacancies on Board. </w:t>
      </w:r>
      <w:r>
        <w:rPr>
          <w:rFonts w:ascii="Times New Roman" w:cs="Times New Roman" w:eastAsia="Times New Roman" w:hAnsi="Times New Roman"/>
          <w:sz w:val="18"/>
          <w:szCs w:val="18"/>
          <w:color w:val="auto"/>
        </w:rPr>
        <w:t>At any time or from time to time, the board of directors shall have the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appoint any person as a director either to fill a casual vacancy on the board of directors or as an additional director to the existing board of directors subject to any maximum number of directors, if any, as may be determined by the members in general meeting.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director shall hold office for the term, if any, fixed by the terms of his appointment or until his office is vacated pursuant to the Amended Articles.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director is not required to hold any shares in the company by way of qualification nor is there any specified upper or lower age limit for directors either for accession to or retirement from the board of directors.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Director may be removed by an ordinary resolution of the Company before the expiration of his term of office (but without prejudice to any claim which such Director may have for damages for any breach of any contract between him and the Company) and the Company may by ordinary resolution appoint another in his place. Any Director so appointed shall be subject to the retirement by rotation provisions.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 of a Director shall be vacated if he:</w:t>
      </w:r>
    </w:p>
    <w:p>
      <w:pPr>
        <w:spacing w:after="0" w:line="225"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by the law of the Cayman Islands from acting as a director;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bankrupt or makes an arrangement or composition with his creditors generally;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resigns his office by notice to the Company;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5" w:name="page86"/>
    <w:bookmarkEnd w:id="85"/>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held office as a director for a fixed term and such term expires;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a registered medical practitioner by whom he is being treated, becomes physically or mentally incapable of acting as a director;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notice by the majority of the other directors (not being less than two in number) to vacate office (without prejudice to any claim for damages for breach of any agreement relating to the provision of the services of such director); or;</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(vii)is made subject to any law relating to mental health or incompetence, whether by court order or otherwise; or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(viii)without the consent of the other directors, is absent from meetings of directors for a continuous period of six months.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board of directors may appoint one or more of its body to be managing director, joint managing director or deputy managing director or to hold any other employment or executive office with the company for such period and upon such terms as the board of directors may determine, and the board of directors may revoke or terminate any of such appointments. The board of directors may also delegate any of its powers to committees consisting of such director(s) or other person(s) as the board of directors thinks fit, and from time to time it may also revoke such delegation or revoke the appointment of and discharge any such committees either wholly or in part, and either as to persons or purposes, but every committee so formed shall, in the exercise of the powers so delegated, conform to any regulations that may from time to time be imposed upon it by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w:t>
      </w:r>
    </w:p>
    <w:p>
      <w:pPr>
        <w:spacing w:after="0" w:line="3" w:lineRule="exact"/>
        <w:rPr>
          <w:sz w:val="20"/>
          <w:szCs w:val="20"/>
          <w:color w:val="auto"/>
        </w:rPr>
      </w:pPr>
    </w:p>
    <w:p>
      <w:pPr>
        <w:jc w:val="both"/>
        <w:ind w:firstLine="8"/>
        <w:spacing w:after="0" w:line="253"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Financial Reporting Authority or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By subscribing for shares, the subscriber consents to the disclosure of any information about them to regulators and others upon request in connection with money laundering and similar matters both in the Cayman Islands and in other jurisdictions.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or any other applicable law. Depending on the circumstances of each application, a detailed verification of identity might not be required where:</w:t>
      </w:r>
    </w:p>
    <w:p>
      <w:pPr>
        <w:spacing w:after="0" w:line="180"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left="660" w:hanging="328"/>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any person in the Cayman Islands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(“FRA”) of the Cayman Islands, pursuant to the Proceeds of Crime Act (Revised) of the Cayman Islands if the disclosure relates to criminal conduct or money laundering, or (ii) a police constable or a nominated officer (pursuant to the Terrorism Act (Revised) of the Cayman Islands), pursuant to the Terrorism Act (Revised) of the Cayman Islands or the FRA, pursuant to the Terrorism Act (Revised) of the Cayman Islands, if the disclosure relates to involvement with terrorism or terrorist financing and property. Such a report shall not be treated as a breach of confidence or of any restriction upon the disclosure of information imposed by any enactment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(“DPA”).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committed to processing personal data in accordance with the DPA. In its use of personal data, the Company will be characterized under the DPA as a “data controller”, while certain of the Company’s service providers, affiliates and delegates may act as “data processors” under the DPA. These service providers may process personal information for their own lawful purposes in connection with services provided to the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by virtue of making an investment in the Company, the Company and certain of the Company’s service providers may collect, record, store, transfer and otherwise process personal data by which individuals may be directly or indirectly identified.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color w:val="auto"/>
        </w:rPr>
        <w:t>Your personal data shall not be held by the Company for longer than necessary with regard to the purposes of the data processing.</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have certain rights under the DPA, including (a) the right to be informed as to how we collect and use your personal data (and this privacy notice fulfills the Company’s obligation in this respect); (b) the right to obtain a copy of your personal data; (c) the right to require us to stop direct marketing;</w:t>
      </w:r>
    </w:p>
    <w:p>
      <w:pPr>
        <w:jc w:val="both"/>
        <w:ind w:firstLine="8"/>
        <w:spacing w:after="0" w:line="250" w:lineRule="auto"/>
        <w:tabs>
          <w:tab w:leader="none" w:pos="25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w:t>
      </w:r>
    </w:p>
    <w:p>
      <w:pPr>
        <w:jc w:val="both"/>
        <w:ind w:firstLine="8"/>
        <w:spacing w:after="0" w:line="253" w:lineRule="auto"/>
        <w:tabs>
          <w:tab w:leader="none" w:pos="2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accessing their website here: ombudsman.ky.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Companies Act is modeled, to a large extent, after the older Companies Acts of England but does not follow recent English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 and consolidations between Cayman Islands companies and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non-Cayman Islands companies provided that the laws of the foreign jurisdiction permit such merger or consolidation.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new consolidated company and the vesting of the undertaking, property and liabilities of such companies to the consolidated company.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 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 The consent of each holder of a fixed or floating security interest over a constituent company is required unless this requirement is waived by a court in the Cayman Islands.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seventy-five per cent in value of the members or class of members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3"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person of that class acting in respect of his or her interest;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that may facilitate the “squeeze out” of dissentient minority shareholders upon a takeover offer. When a takeover offer is made and accepted by holders of not less than 90.0% of the shares within four months after the making of the offer, the offeror may, within a two-month period commencing on the expiration of such four month period, give notice to require the holders of the remaining shares to transfer such shares on the terms of the offer. An objection can be made to the Grand Court of the Cayman Islands by a dissenting shareholder within one month from the date on which the notice was given, but this is unlikely to succeed in the case of an offer that has been so approved unless there is evidence of fraud, bad faith or collusion.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Harbottle </w:t>
      </w:r>
      <w:r>
        <w:rPr>
          <w:rFonts w:ascii="Times New Roman" w:cs="Times New Roman" w:eastAsia="Times New Roman" w:hAnsi="Times New Roman"/>
          <w:sz w:val="18"/>
          <w:szCs w:val="18"/>
          <w:color w:val="auto"/>
        </w:rPr>
        <w:t>and the exceptions thereto) so that a non-controlling shareholder may be permitted to commence a class action against or derivative actions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of the company to challenge actions where:</w:t>
      </w:r>
    </w:p>
    <w:p>
      <w:pPr>
        <w:spacing w:after="0" w:line="183"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case of a company (not being a bank) having its share capital divided into shares, the Grand Court may, on the application of members holding not less than one fifth of the shares of the company in issue, appoint an inspector to examine the affairs of the company and to report thereon in such manner as the Grand Court shall direct.</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Amended Memorandum and Articles provide that to the extent permitted by law, we shall indemnify each existing or former director (including alternate director), secretary and other officer of us (including an investment adviser or an administrator or liquidator) and their personal representatives against:</w:t>
      </w:r>
    </w:p>
    <w:p>
      <w:pPr>
        <w:spacing w:after="0" w:line="176" w:lineRule="exact"/>
        <w:rPr>
          <w:sz w:val="20"/>
          <w:szCs w:val="20"/>
          <w:color w:val="auto"/>
        </w:rPr>
      </w:pPr>
    </w:p>
    <w:p>
      <w:pPr>
        <w:jc w:val="both"/>
        <w:ind w:left="66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director’s (including alternate director’s), secretary’s or officer’s duties, powers, authorities or discretions;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such existing or former director (including alternate director), secretary or officer, however, shall be indemnified in respect of any matter arising out of his own dishonesty.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permitted by the Companies Act, we may make a payment, or agree to make a payment, whether by way of advance, loan or otherwise, for any legal costs incurred by an existing or former director (including alternate director), secretary or officer of the Company in respect of any matter identified in above on condition that the director (including alternate director), secretary or officer must repay the amount paid by us to the extent that we are ultimately found not liable to indemnify the director (including alternate director), secretary or officer for those legal costs. This standard of conduct is generally the same as permitted under the Delaware General Corporation Law for a Delaware corporation.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General Corporation Law, a director of a Delaware corporation has a fiduciary duty to the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second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 (c) a duty to avoid improperly fettering the exercise of future discretion, (d) a duty to avoid any conflict of interest between the director’s duty to the company and the director’s personal interests, and (e) a duty to exercise independent judgment. In addition to the above, directors also owe a duty of care which is not fiduciary in nature. It was previously considered that a director need not exhibit in the performance of his duties a greater degree of skill than may reasonably be expected from a person carrying out the same functions as are carried out by that director in relation to the company. However, English and Commonwealth courts have moved towards an objective standard with regard to the required skill and care and these authorities are likely to be followed in the Cayman Islands.</w:t>
      </w:r>
    </w:p>
    <w:p>
      <w:pPr>
        <w:spacing w:after="0" w:line="18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The Companies Act and our Amended Articles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rights to requisition a general meeting, or to put any proposal before a general meeting. However, these rights may be provided in a company’s articles of association. Our Amended Articles allow our shareholders holding in aggregate not less than ten percent of the rights to vote at such general meeting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Amended Articles do not provide our shareholders with any other right to put proposals before annual general meetings or extraordinary general meetings. As an exempted Cayman Islands company, we may but are not obliged by law to call shareholders’ annual general meetings.</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Amended Articles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Amended Articles, directors may be removed with or without cause, by an ordinary resolution of our Shareholders. In addition, a director’s office shall be vacated if the director (i) becomes bankrupt or makes any arrangement or composition with his creditors; (ii) is found to be or becomes of unsound mind or dies; (iii) resigns his or her office by notice in writing to the company; (iv) without special leave of absence from our board, is absent from meetings of our board for a continuous period of six months; or (v) is removed from office pursuant to any other provisions of our Amended Memorandum and Articles.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and for a proper corporate purpose and not with the effect of constituting a fraud on the minority shareholders.</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Companies Act, a company may be wound up by either an order of the courts of the Cayman Islands,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Articles, our Company may be dissolved, liquidated or wound up by a special resolution of our shareholders.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of a majority of the outstanding shares of such class, unless the certificate of incorporation provides otherwise. Under the Companies Act and our Amended Articles, if our share capital is divided into more than one class of shares then, unless the terms on which a class of shares was issued state otherwise, we may vary the rights attached to any class with the written consent of not less than two-thirds of the issued shares of that class or with the sanction of a special resolution passed at a separate general meeting of the holders of the shares of that class. The rights conferred upon the holders of the shares of any class issued with preferred or other rights shall not, subject to any rights or restrictions for the time being attached to the shares of that class, be deemed to be varied by the creation, allotment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existing issued shares of that class.</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As permitted by the Companies Act, our Amended Memorandum and Articles may only be amended by a special resolution of our shareholders.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Amended Memorandum and Articles on the rights of non-resident or foreign shareholders to hold or exercise voting rights on our shares. In addition, there are no provisions in our Amended Memorandum and Articles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Association — CCP</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the Group’s and its consolidated foreign operating entities’ respective memorandum and articles of association do not contain any wording from any charter of the CCP.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not intended to constitute a complete analysis of all tax considerations relating to the acquisition, ownership, and disposition of our Class A Ordinary Shares. You should consult your own tax advisor concerning the tax considerations of your particular situation, as well as any tax consequences that may arise under the laws of any state, local, foreign, or other taxing jurisdiction.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been advised by Ogier, our Cayman Islands legal counsel in their opinion that, 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been further advised by Ogier that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are a party to a double tax treaty entered into with the United Kingdom in 2010 but otherwise is not party to any double tax treaties. No stamp duty is payable in the Cayman Islands on transfer of shares of Cayman Islands companies except those who hold interests in land in the Cayman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Tax</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tax is imposed in Hong Kong in respect of capital gains from the sale of property, such as our Ordinary Shares. Generally, gains arising from disposal of the Ordinary Shares which are held more than two years are considered capital in nature. However, trading gains from the sale of property by persons carrying on a trade, profession or business in Hong Kong where such gains are derived from or arise in Hong Kong from such trade, profession or business will be chargeable to Hong Kong profit tax. Liability for Hong Kong profits tax would therefore arise in respect of trading gains from the sale of Ordinary Shares realized by persons in the course of carrying on a business of trading or dealing in securities in Hong Kong where the purchase or sale contracts are effected (being negotiated, concluded and/or executed) in Hong Kong. Effective from April 1, 2018, profits tax is levied on a two-tiered profits tax rate basis, with the first HK$2 million of profits being taxed at 8.25% for corporations and 7.5% for unincorporated businesses, and profits exceeding the first HK$2 million being taxed at 16.5% for corporations and 15% for unincorporated businesses. In addition, Hong Kong does not impose withholding tax on gains derived from the sale of stock in Hong Kong companies and does not impose withholding tax on dividends paid outside of Hong Kong by Hong Kong companies. Accordingly, investors will not be subject to Hong Kong withholding tax with respect to a disposition of their Ordinary Shares or with respect to the receipt of dividends on their Ordinary Shares, if any. No income tax treaty relevant to the acquiring, withholding or dealing in the Ordinary Shares exists between Hong Kong and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Hong Kong stamp duty is generally payable on the transfer of “Hong Kong stocks”. The term “stocks” refers to shares in companies incorporated in Hong Kong, as widely defined under the Stamp Duty Ordinance (Cap. 117 of the laws of Hong Kong), or SDO, and includes shares. However, our Ordinary Shares are not considered “Hong Kong stocks” under the SDO since the transfer of the Ordinary Shares are not required to be registered in Hong Kong given that the books for the transfer of Ordinary Shares are located in the United States. The transfer of Ordinary Shares is therefore not subject to stamp duty in Hong Kong. If Hong Kong stamp duty applies, both the purchaser and the seller are liable for the stamp duty charged on each of the sold note and bought note at the ad valorem rate of 0.1% on the higher of the consideration stated on the contract notes or the fair market value of the shares transferred. In addition, a fixed duty, currently of HK$5.00, is payable on an instrument of transfer.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Revenue (Abolition of Estate Duty) Ordinance 2005 came into effect on February 11, 2006 in Hong Kong. No Hong Kong estate duty is payable and no estate duty clearance papers are needed for an application for a grant of representation in respect of holders of Ordinary Shares whose death occurs on or after February 11, 2006.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Mainland China Tax Laws and Regulations Consideration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Arrangement between Mainland China and Hong Kong for the Avoidance of Double Taxation and Prevention of Fiscal Evasion with Respect to Taxes on Income (“Double Tax Avoidance Arrangement”)</w:t>
      </w:r>
    </w:p>
    <w:p>
      <w:pPr>
        <w:spacing w:after="0" w:line="16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National People’s Congress of the PRC enacted the Enterprise Income Tax Law, which became effective on January 1, 2008 and last amended on December 29, 2018. According to Enterprise Income Tax Law and the Regulation on the Implementation of the Enterprise Income Tax Law, or the Implementing Rules, which became effective on January 1, 2008 and further amended on April 23, 2019, dividends generated after January 1, 2008 and payable by a foreign-invested enterprise in Mainland China to its foreign enterprise investors are subject to a 10% withholding tax, unless any such foreign enterprise investor’s jurisdiction of incorporation has a tax treaty with the PRC that provides for a preferential withholding arrangement. According to the Notice of the State Administration of Taxation (“SAT”) on Negotiated Reduction of Dividends and Interest Rates issued on January 29, 2008, revised on February 29, 2008, and the Arrangement between Mainland China and Hong Kong for the Avoidance of Double Taxation and Prevention of Fiscal Evasion with Respect to Taxes on Income, or Double Tax Avoidance Arrangement, the withholding tax rate in respect of the payment of dividends by a Mainland China enterprise to a Hong Kong enterprise may be reduced to 5% from a standard rate of 10% if the Hong Kong enterprise directly holds at least 25% of the Mainland China enterprise and certain other conditions are met, including: (i) the Hong Kong enterprise must directly own the required percentage of equity interests and voting rights in the Mainland China resident enterprise; and (ii) the Hong Kong enterprise must have directly owned such required percentage in the Mainland China resident enterprise throughout the 12 months prior to receiving the dividends. However, based on the Circular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Mainland China tax authorities may adjust the preferential tax treatment; and based on the Announcement on Certain Issues with Respect to the “Beneficial Owner” in Tax Treaties issued by the SAT on February 3, 2018 and effective from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as holding company with all our operations conducted and all revenue generated by our Hong Kong Operating Subsidiary in Hong Kong. We also own Etoiles Financial, a company with no material operations of its own and mainly used to handle administrative expense. We do not have, nor do we currently intend to establish, any subsidiary in Mainland China or set up any establishment in Mainland China. We do not plan to enter into any contractual arrangements to establish a VIE structure with any entity in Mainland China, and none of our subsidiaries directly or indirectly holds any interests in any enterprises in Mainland China. We believe neither the Company, nor its subsidiaries, are subject to Enterprise Income Tax Law, Double Tax Avoidance Arrangement or any Mainland Chinese taxation law and regulations, nor these law and regulations have any impact on our business, operations or this Offering.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color w:val="auto"/>
        </w:rPr>
        <w:t>Enterprise Income Tax Law</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Enterprise Income Tax Law and the Implementing Rules impose a uniform 25% enterprise income tax rate to both foreign invested enterprises and domestic enterprises in Mainland China, except where tax incentives are granted to special industries and projects. Under the Enterprise Income Tax Law, an enterprise established outside PRC with “de facto management bodies” within Mainland China is considered a “resident enterprise” for Mainland China enterprise income tax purposes and is generally subject to a uniform 25% enterprise income tax rate on its worldwide income. The Notice Regarding the Determination of Chinese-Controlled Offshore Incorporated Enterprises as PRC Tax Resident Enterprises on the Basis of De Facto Management Bodies promulgated by the SAT and last amended on December 29, 2017 and the Announcement of the State Administration of Taxation on Issues concerning the Determination of Resident Enterprises Based on the Standards of Actual Management Institutions promulgated by the SAT on January 29, 2014 set out the standards used to classify certain Chinese invested enterprises controlled by Mainland China enterprises or Mainland China enterprise groups and established outside of China as “resident enterprises”, which also clarified that dividends and other income paid by such Mainland China “resident enterprises” will be considered Mainland China source income and subject to Mainland China withholding tax, currently at a rate of 10%, when paid to non-Mainland China enterprise shareholders. This notice also subjects such Mainland China “resident enterprises” to various reporting requirements with the Mainland China tax authorities. Under the Implementing Rules, a “de facto management body” is defined as a body that has material and overall management and control over the manufacturing and business operations, personnel and human resources, finances and properties of an enterprise.</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17, 2017, the SAT issued the Bulletin on Issues Concerning the Withholding of Non-PRC Resident Enterprise Income Tax at Source, or Bulletin 37, which replaced the Notice on Strengthening Administration of Enterprise Income Tax for Share Transfers by Non-PRC Resident Enterprises, issued by the SAT, on December 10, 2009, and partially replaced and supplemented by the rules under the Bulletin on Issues of Enterprise Income Tax on Indirect Transfers of Assets by Non-PRC Resident Enterprises, or Bulletin 7, issued by the SAT, on February 3, 2015. Under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In respect of an indirect offshore transfer of assets of a Mainland China establishment, the relevant gain is to be regarded as effectively connected with the Mainland China establishment and therefore included in its enterprise income tax filing, and would consequently be subject to enterprise income tax at a rate of 25%. Where the underlying transfer relates to the immoveable properties in China or to equity investments in a PRC resident enterprise, which is not effectively connected to a Mainland China establishment of a non-resident enterprise, a PRC enterprise income tax at 10% would apply, subject to available preferential tax treatment under applicable tax treaties or similar arrangements, and the party who is obligated to make the transfer payments bears the withholding obligation. Pursuant to Bulletin 37, the withholding party shall declare and pay the withheld tax to the competent tax authority in the place where such withholding party is located within 7 days from the date of occurrence of the withholding obligation. Both Bulletin 37 and Bulletin 7 do not apply to transactions of sale of shares by investors through a public stock exchange where such shares were acquired from a transaction through a public stock exchange.</w:t>
      </w:r>
    </w:p>
    <w:p>
      <w:pPr>
        <w:spacing w:after="0" w:line="19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as holding company with all our operations conducted and all revenue generated by our Hong Kong Operating Subsidiary in Hong Kong. We do not have, nor do we currently intend to establish, any subsidiary in Mainland China or set up any establishment in Mainland China. We do not plan to enter into any contractual arrangements to establish a VIE structure with any entity in Mainland China, and none of our subsidiaries directly or indirectly holds any interests in any enterprises in Mainland China. We believe neither the Company, nor its subsidiaries, are subject to Enterprise Income Tax Law, Double Tax Avoidance Arrangement or any Mainland Chinese taxation law and regulations, nor these law and regulations have any impact on our business, operations or this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U.S. Holders (as defined below) of the ownership and disposition of our Class A Ordinary Shares. This summary applies only to U.S. Holders that hold our Class A Ordinary Shares as capital assets (generally, property held for investment) and that have the U.S. dollar as their functional currency. This summary is based on U.S. federal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 Moreover, this summary does not address the U.S. federal estate, gift, backup withholding, and alternative minimum tax considerations, or any state, local, and non-U.S. tax considerations, relating to the ownership and disposition of our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192"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6" w:name="page97"/>
    <w:bookmarkEnd w:id="96"/>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stock as part of a straddle, hedging, conversion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not U.S. 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the total combined voting power of all classes of our voting stock;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Class A Ordinary Shares through such entities.</w:t>
      </w:r>
    </w:p>
    <w:p>
      <w:pPr>
        <w:spacing w:after="0" w:line="15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PROSPECTIVE INVESTORS ARE URGED TO CONSULT THEIR OWN TAX ADVISORS REGARDING THE APPLICATION OF U.S. FEDERAL TAXATION TO THEIR PARTICULAR CIRCUMSTANCES, AND THE STATE, LOCAL, NON-U.S., OR OTHER TAX CONSEQUENCES OF THE OWNERSHIP AND DISPOSITION OF OUR CLASS A ORDINARY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Ordinary Shares that is, for U.S. federal income tax purposes:</w:t>
      </w:r>
    </w:p>
    <w:p>
      <w:pPr>
        <w:spacing w:after="0" w:line="225"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Class A Ordinary Shares, the tax treatment of a partner in the partnership will generally depend upon the status of the partner and the activities of the partnership. Partnerships holding our Class A Ordinary Shares and their partners are urged to consult their tax advisors regarding an investment in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Our Class A Ordinary Shares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above, we do not anticipate that any dividends will be paid in the foreseeable future. Subject to the discussion below under “Passive Foreign Investment Company Rules,” any cash distributions (including the amount of any PRC tax withheld) paid on our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Because we do not intend to determine our earnings and profits on the basis of U.S. federal income tax principles, any distribution we pay will generally be treated as a “dividend” for U.S. federal income tax purposes. A non-corporate U.S. Holder will be subject to tax on dividend income from a “qualified foreign corporation” at a lower applicable capital gains rate rather than the marginal tax rates generally applicable to ordinary income provided that certain holding period requirements are met. A non-U.S. corporation (other than a corporation that is classified as a PFIC for the taxable year in which the dividend is paid or the preceding taxable year) will generally be considered to be a qualified foreign corporation (i) if it is eligible for the benefits of a comprehensive tax treaty with the United States that the U.S. Secretary of Treasury determines is satisfactory for purposes of this provision and includes an exchange of information program, or (ii) with respect to any dividend it pays on stock that is readily tradable on an established securities market in the United States, including Nasdaq. It is unclear whether dividends that we pay on our Class A Ordinary Shares will meet the conditions required for the reduced tax rate. However, in the event that we are deemed to be a PRC resident enterprise under the PRC Enterprise Income Tax Law, we may be eligible for the benefits of the United States-PRC income tax treaty. If we are eligible for such benefits, dividends we pay on our Class A Ordinary Shares, would be eligible for the reduced rates of taxation described in this paragraph. You are urged to consult your tax advisor regarding the availability of the lower rate for dividends paid with respect to our Class A Ordinary Shares. Dividends received on our Class A Ordinary Shares will not be eligible for the dividends-received deduction allowed to corporations.</w:t>
      </w:r>
    </w:p>
    <w:p>
      <w:pPr>
        <w:spacing w:after="0" w:line="19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Class A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Sale or Other Disposition of Class A Ordinary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capital gain or loss upon the sale or other disposition of Class A Ordinary Shares in an amount equal to the difference between the amount realized upon the disposition and the U.S. Holder’s adjusted tax basis in such Class A Ordinary Shares. Any capital gain or loss will be long term if the Class A Ordinary Shares have been held for more than one year and will generally be U.S.-source gain or loss for U.S. foreign tax credit purposes. Long-term capital gains of non-corporate taxpayers are currently eligible for reduced rates of taxation. In the event that gain from the disposition of the Class A Ordinary Shares is subject to tax in the PRC, such gain may be treated as PRC-source gain under the United States-PRC income tax treaty. The deductibility of a capital loss may be subject to limitations. U.S. Holders are urged to consult their tax advisors regarding the tax consequences if a foreign tax is imposed on a disposition of our Class A Ordinary Shares, including the availability of the foreign tax credit under their particular circumstances.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assurance can be given as to whether we will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Class A Ordinary Shares, we generally would continue to be treated as a PFIC for all succeeding years during which such U.S. Holder held our Class A Ordinary Shares even if we cease to be a PFIC in subsequent years, unless certain elections are made. Our U.S. counsel expresses no opinion with respect to our PFIC status for any taxable year.</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Class A Ordinary Shares), and (ii) any gain realized on the sale or other disposition of Class A Ordinary Shares. Under these rules,</w:t>
      </w:r>
    </w:p>
    <w:p>
      <w:pPr>
        <w:spacing w:after="0" w:line="187"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in respect of the tax attributable to each prior taxable year, other than a pre-PFIC year, of the U.S. Holder.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treated as a PFIC for any taxable year during which a U.S. Holder holds our Class A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within the meaning of applicable U.S. Treasury regulations. If our Class A Ordinary Shares qualify as being regularly traded, and an election is made, the U.S. Holder will generally (i) include as ordinary income for each taxable year that we are a PFIC the excess, if any, of the fair market value of Class A Ordinary Shares held at the end of the taxable year over the adjusted tax basis of such Class A Ordinary Shares and (ii) deduct as an ordinary loss the excess, if any, of the adjusted tax basis of the Class A Ordinary Shares over the fair market value of such Class A Ordinary Shares held at the end of the taxable year, but such deduction will only be allowed to the extent of the amount previously included in income as a result of the mark-to-market election. The U.S. Holder’s adjusted tax basis in the Class A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Class A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 U.S. Holder owns our Class A Ordinary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consult your tax advisors regarding how the PFIC rules apply to your investment in our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dividend payments with respect to our Class A Ordinary Shares and proceeds from the sale, exchange or redemption of our Class A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CLASS A ORDINARY SHARES, INCLUDING THE CONSEQUENCES OF ANY PROPOSED CHANGE IN APPLICABLE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Cayman Islands. Service of process upon us and upon our directors and officers and the Cayman Islands experts named in this prospectus, many of whom reside outside of the United States, may be difficult to obtain within the United States. Furthermore, because substantially all of our assets and a majority of our directors and officers are located outside the United States, any judgment obtained in the United States against us or any of our directors and officers may be difficult to collect within the United States.</w:t>
      </w:r>
    </w:p>
    <w:p>
      <w:pPr>
        <w:spacing w:after="0" w:line="18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Ogier (“Ogier”), our counsel as to Cayman Islands law, has advised us that there is uncertainty as to whether the courts of the Cayman Islands would</w:t>
      </w:r>
    </w:p>
    <w:p>
      <w:pPr>
        <w:spacing w:after="0" w:line="27" w:lineRule="exact"/>
        <w:rPr>
          <w:sz w:val="20"/>
          <w:szCs w:val="20"/>
          <w:color w:val="auto"/>
        </w:rPr>
      </w:pPr>
    </w:p>
    <w:p>
      <w:pPr>
        <w:jc w:val="both"/>
        <w:ind w:firstLine="8"/>
        <w:spacing w:after="0" w:line="253" w:lineRule="auto"/>
        <w:tabs>
          <w:tab w:leader="none" w:pos="25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that are predicated upon the civil liability provisions of the federal securities laws of the United States or the securities laws of any state in the United States, or (2) entertain original actions brought in the Cayman Islands against us or our directors or officers that are predicated upon the federal securities laws of the United States or the securities laws of any state in the United States.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Ogier has informed us that the uncertainty with regard to Cayman Islands law relates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Ogier has further advised us that a final and conclusive judgment in the federal or state courts of the United States under which a sum of money is payable, other than a sum payable in respect of taxes, fines, penalties or similar charges, may be subject to enforcement proceedings as a debt in the courts of the Cayman Islands under the common law doctrine of obligation.</w:t>
      </w:r>
    </w:p>
    <w:p>
      <w:pPr>
        <w:spacing w:after="0" w:line="18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addition, Ogier has advised us that although there is no statutory recognition and enforcement in the Cayman Islands of judgments obtained in the United States, a judgment obtained in such jurisdiction may be recognized and enforced in the courts of the Cayman Islands in certain circumstances without any re-examination or re-litigation of matters adjudicated upon, provided such judgement: (i) is given by a foreign court of competent jurisdiction;</w:t>
      </w:r>
    </w:p>
    <w:p>
      <w:pPr>
        <w:spacing w:after="0" w:line="1" w:lineRule="exact"/>
        <w:rPr>
          <w:sz w:val="20"/>
          <w:szCs w:val="20"/>
          <w:color w:val="auto"/>
        </w:rPr>
      </w:pPr>
    </w:p>
    <w:p>
      <w:pPr>
        <w:jc w:val="both"/>
        <w:ind w:firstLine="8"/>
        <w:spacing w:after="0" w:line="253" w:lineRule="auto"/>
        <w:tabs>
          <w:tab w:leader="none" w:pos="2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4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Nationality</w:t>
            </w:r>
          </w:p>
        </w:tc>
        <w:tc>
          <w:tcPr>
            <w:tcW w:w="224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Residence</w:t>
            </w: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Kit Shing, CHEUNG</w:t>
            </w:r>
          </w:p>
        </w:tc>
        <w:tc>
          <w:tcPr>
            <w:tcW w:w="120" w:type="dxa"/>
            <w:vAlign w:val="bottom"/>
            <w:tcBorders>
              <w:top w:val="single" w:sz="8" w:color="CCEEFF"/>
            </w:tcBorders>
            <w:shd w:val="clear" w:color="auto" w:fill="CCEEFF"/>
          </w:tcPr>
          <w:p>
            <w:pPr>
              <w:spacing w:after="0"/>
              <w:rPr>
                <w:sz w:val="17"/>
                <w:szCs w:val="17"/>
                <w:color w:val="auto"/>
              </w:rPr>
            </w:pPr>
          </w:p>
        </w:tc>
        <w:tc>
          <w:tcPr>
            <w:tcW w:w="47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Chairperson of the Board of Directors, Director and Chief</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Chinese</w:t>
            </w:r>
          </w:p>
        </w:tc>
        <w:tc>
          <w:tcPr>
            <w:tcW w:w="1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Hong Kong</w:t>
            </w:r>
          </w:p>
        </w:tc>
      </w:tr>
      <w:tr>
        <w:trPr>
          <w:trHeight w:val="234"/>
        </w:trPr>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 Fai, TAM</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7"/>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Zhihan, LOU</w:t>
            </w: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Chinese</w:t>
            </w: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 DING</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6"/>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 K, THAKAR</w:t>
            </w: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Yeung Tak, CHEN</w:t>
            </w: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Chinese</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677"/>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majority of our directors and officers reside outside the United States in Hong Kong. We have been advised by David Fong &amp; Co., Solicitors, our Hong Kong counsel, that there is uncertainty as to whether the courts of Hong Kong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Hong Kong against us or our directors or officers predicated upon the securities laws of the United States or any state in the United States.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David Fong &amp; Co., our counsel with respect to Hong Kong law, have advised us that judgment of United States courts will not be directly enforced in Hong Kong. There are currently no treaties or other arrangements providing for reciprocal enforcement of foreign judgments between Hong Kong and the United States. However, the common law permits an action to be brought upon a foreign judgment. That is to say, a foreign judgment itself may form the basis of a cause of action since the judgment may be regarded as creating a debt between the parties to it. In a common law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 common law action brought on the basis of a foreign judgment include lack of jurisdiction, breach of natural justice, fraud, and contrary to public policy. However, a separate legal action for debt must be commenced in Hong Kong in order to recover such debt from the judgment debtor.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costs and expenses payable by the Company in connection with the offering described in this registration statement are set forth below. We will bear all costs, expenses and fees in connection with the registration of the Class A Ordinary Shares. The Selling Shareholders will bear all commissions and discounts, if any, attributable to their respective sales of our Class A Ordinary Shares.</w:t>
      </w:r>
    </w:p>
    <w:p>
      <w:pPr>
        <w:sectPr>
          <w:pgSz w:w="11900" w:h="16838" w:orient="portrait"/>
          <w:cols w:equalWidth="0" w:num="1">
            <w:col w:w="11240"/>
          </w:cols>
          <w:pgMar w:left="320" w:top="900" w:right="3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Itemized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35"/>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475" w:hanging="475"/>
        <w:spacing w:after="0"/>
        <w:tabs>
          <w:tab w:leader="none" w:pos="4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3,359.75</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44,000</w:t>
      </w:r>
    </w:p>
    <w:p>
      <w:pPr>
        <w:spacing w:after="0" w:line="9"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22,000</w:t>
      </w:r>
    </w:p>
    <w:p>
      <w:pPr>
        <w:spacing w:after="0" w:line="58" w:lineRule="exact"/>
        <w:rPr>
          <w:sz w:val="20"/>
          <w:szCs w:val="20"/>
          <w:color w:val="auto"/>
        </w:rPr>
      </w:pPr>
    </w:p>
    <w:p>
      <w:pPr>
        <w:ind w:left="395" w:hanging="395"/>
        <w:spacing w:after="0"/>
        <w:tabs>
          <w:tab w:leader="none" w:pos="395" w:val="left"/>
        </w:tabs>
        <w:numPr>
          <w:ilvl w:val="0"/>
          <w:numId w:val="8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78,359.75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being represented by Loeb &amp; Loeb LLP with respect to certain legal matters of U.S. federal securities laws. The legal matters concerning this Offering relating to Cayman Islands law will be passed upon for us by Ogier. Certain legal matters as to Hong Kong law will be passed upon for us by David Fong &amp; Co., Solicitors.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2024 and 2023, included in this prospectus have been so included in reliance on the report of SRCO, C.P.A., Professional Corporation, an independent registered public accounting firm, given on the authority of said firm as experts in auditing and accounting. The office of SRCO, C.P.A., Professional Corporation is located at 646 N French Road, Unit 6, Amherst, NY, 14228, U.S.A.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under the Securities Act relating to this Offering of our Class A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they are not complete descriptions of all terms of these documents. If we filed any of these documents as an exhibit to the registration statement, you may read the document itself for a complete description of its terms.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You may read and copy the registration statement, including the related exhibits and schedules, and any document we file with the SEC at its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not currently subject to the informational requirements of the Exchange Act. Upon completion of this Offering, we will become subject to the information reporting requirements of the Exchange Act applicable to foreign private issuers and will fulfill the obligations of those requirements by filing reports with the SEC. As a foreign private issuer, we will be exempt from the rules under the Exchange Act relating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file with the SEC, within 120 days after the end of our fiscal year, or such applicable time as required by the SEC, an annual report on Form 20-F containing financial statements that will be audited and reported on, with an opinion expressed, by an independent registered public accounting firm. We also intend to file with the SEC reports on Form 6-K containing unaudited financial information for the first three quarters of each fiscal year.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54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5400" w:type="dxa"/>
            <w:vAlign w:val="bottom"/>
            <w:tcBorders>
              <w:bottom w:val="single" w:sz="8" w:color="0000EE"/>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6722)</w:t>
            </w:r>
          </w:p>
        </w:tc>
        <w:tc>
          <w:tcPr>
            <w:tcW w:w="4840" w:type="dxa"/>
            <w:vAlign w:val="bottom"/>
            <w:tcBorders>
              <w:bottom w:val="single" w:sz="8" w:color="CCEEFF"/>
            </w:tcBorders>
            <w:gridSpan w:val="4"/>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4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Years Ended December 31, 2024 and 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85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2024 and 2023</w:t>
            </w:r>
          </w:p>
        </w:tc>
        <w:tc>
          <w:tcPr>
            <w:tcW w:w="17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4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7"/>
        </w:trPr>
        <w:tc>
          <w:tcPr>
            <w:tcW w:w="102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65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740" w:type="dxa"/>
            <w:vAlign w:val="bottom"/>
            <w:tcBorders>
              <w:top w:val="single" w:sz="8" w:color="CCEEFF"/>
            </w:tcBorders>
            <w:gridSpan w:val="3"/>
          </w:tcPr>
          <w:p>
            <w:pPr>
              <w:spacing w:after="0"/>
              <w:rPr>
                <w:sz w:val="18"/>
                <w:szCs w:val="18"/>
                <w:color w:val="auto"/>
              </w:rPr>
            </w:pPr>
          </w:p>
        </w:tc>
        <w:tc>
          <w:tcPr>
            <w:tcW w:w="10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676"/>
        </w:trPr>
        <w:tc>
          <w:tcPr>
            <w:tcW w:w="342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586105</wp:posOffset>
            </wp:positionV>
            <wp:extent cx="5143500" cy="1036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514350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Etoiles Capital Group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Etoiles Capital Group Co., Ltd and its subsidiaries (collectively referred to as the “Group”) as of December 31, 2024 and 2023, and the related consolidated statements of operations and comprehensive income, changes in shareholders’ equity,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Group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Group’s management. Our responsibility is to express an opinion on the Group’s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United States Securities and Exchange Commission and the PCAOB.</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Group’s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Amherst, NY</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SRCO, C.P.A., Professional Corporation</w:t>
      </w:r>
    </w:p>
    <w:p>
      <w:pPr>
        <w:spacing w:after="0" w:line="30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SRCO, C.P.A., Professional Corporation</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(Note 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current assets, net (Note 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 director (Note 16)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309,507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Deposits and other current assets, net (Note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 net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tax assets (Note 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initial public offering costs (Note 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18"/>
          <w:szCs w:val="18"/>
          <w:color w:val="auto"/>
        </w:rPr>
        <w:t>41,932</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18"/>
          <w:szCs w:val="18"/>
          <w:color w:val="auto"/>
        </w:rPr>
        <w:t>18,593</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40"/>
        <w:spacing w:after="0"/>
        <w:tabs>
          <w:tab w:leader="none" w:pos="2260" w:val="left"/>
        </w:tabs>
        <w:rPr>
          <w:sz w:val="20"/>
          <w:szCs w:val="20"/>
          <w:color w:val="auto"/>
        </w:rPr>
      </w:pPr>
      <w:r>
        <w:rPr>
          <w:rFonts w:ascii="Times New Roman" w:cs="Times New Roman" w:eastAsia="Times New Roman" w:hAnsi="Times New Roman"/>
          <w:sz w:val="18"/>
          <w:szCs w:val="18"/>
          <w:color w:val="auto"/>
        </w:rPr>
        <w:t>53,418</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720"/>
        <w:spacing w:after="0"/>
        <w:tabs>
          <w:tab w:leader="none" w:pos="2260" w:val="left"/>
        </w:tabs>
        <w:rPr>
          <w:sz w:val="20"/>
          <w:szCs w:val="20"/>
          <w:color w:val="auto"/>
        </w:rPr>
      </w:pPr>
      <w:r>
        <w:rPr>
          <w:rFonts w:ascii="Times New Roman" w:cs="Times New Roman" w:eastAsia="Times New Roman" w:hAnsi="Times New Roman"/>
          <w:sz w:val="18"/>
          <w:szCs w:val="18"/>
          <w:color w:val="auto"/>
        </w:rPr>
        <w:t>4,539</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40"/>
        <w:spacing w:after="0"/>
        <w:tabs>
          <w:tab w:leader="none" w:pos="2260" w:val="left"/>
        </w:tabs>
        <w:rPr>
          <w:sz w:val="20"/>
          <w:szCs w:val="20"/>
          <w:color w:val="auto"/>
        </w:rPr>
      </w:pPr>
      <w:r>
        <w:rPr>
          <w:rFonts w:ascii="Times New Roman" w:cs="Times New Roman" w:eastAsia="Times New Roman" w:hAnsi="Times New Roman"/>
          <w:sz w:val="18"/>
          <w:szCs w:val="18"/>
          <w:color w:val="auto"/>
        </w:rPr>
        <w:t>181,688</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40"/>
        <w:spacing w:after="0"/>
        <w:tabs>
          <w:tab w:leader="none" w:pos="2260" w:val="left"/>
        </w:tabs>
        <w:rPr>
          <w:sz w:val="20"/>
          <w:szCs w:val="20"/>
          <w:color w:val="auto"/>
        </w:rPr>
      </w:pPr>
      <w:r>
        <w:rPr>
          <w:rFonts w:ascii="Times New Roman" w:cs="Times New Roman" w:eastAsia="Times New Roman" w:hAnsi="Times New Roman"/>
          <w:sz w:val="18"/>
          <w:szCs w:val="18"/>
          <w:color w:val="auto"/>
        </w:rPr>
        <w:t>300,170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38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2,069,102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70,476</w:t>
      </w:r>
    </w:p>
    <w:p>
      <w:pPr>
        <w:spacing w:after="0" w:line="27"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 (Note 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958,314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(Note 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48,841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(Note 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to a director (Note 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35,521</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 (Note 13)</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152,364</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Non-current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 non-current (Note 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720"/>
        <w:spacing w:after="0"/>
        <w:tabs>
          <w:tab w:leader="none" w:pos="2260" w:val="left"/>
        </w:tabs>
        <w:rPr>
          <w:sz w:val="20"/>
          <w:szCs w:val="20"/>
          <w:color w:val="auto"/>
        </w:rPr>
      </w:pPr>
      <w:r>
        <w:rPr>
          <w:rFonts w:ascii="Times New Roman" w:cs="Times New Roman" w:eastAsia="Times New Roman" w:hAnsi="Times New Roman"/>
          <w:sz w:val="18"/>
          <w:szCs w:val="18"/>
          <w:color w:val="auto"/>
        </w:rPr>
        <w:t>4,577</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720"/>
        <w:spacing w:after="0"/>
        <w:tabs>
          <w:tab w:leader="none" w:pos="2260" w:val="left"/>
        </w:tabs>
        <w:rPr>
          <w:sz w:val="20"/>
          <w:szCs w:val="20"/>
          <w:color w:val="auto"/>
        </w:rPr>
      </w:pPr>
      <w:r>
        <w:rPr>
          <w:rFonts w:ascii="Times New Roman" w:cs="Times New Roman" w:eastAsia="Times New Roman" w:hAnsi="Times New Roman"/>
          <w:sz w:val="18"/>
          <w:szCs w:val="18"/>
          <w:color w:val="auto"/>
        </w:rPr>
        <w:t>4,577</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tabs>
          <w:tab w:leader="none" w:pos="38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1,180,908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38,834</w:t>
      </w:r>
    </w:p>
    <w:p>
      <w:pPr>
        <w:spacing w:after="0" w:line="27"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450,000,000 shares authorized, par value US$0.0001 each, 13,500,000 Class A ordinary shares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and 2023 (Note 11)*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50,000,000 shares authorized, par value US$0.0001 each, 5,000,000 Class B ordinary shares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2024 and 2023 (Note 11)*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881,721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29,222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4,123</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888,194</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31,642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2,069,102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70,476</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78308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Retrospectively restated for effect of share reorganization (see Note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07" w:name="page108"/>
    <w:bookmarkEnd w:id="107"/>
    <w:p>
      <w:pPr>
        <w:jc w:val="center"/>
        <w:ind w:left="340" w:right="2060"/>
        <w:spacing w:after="0" w:line="262" w:lineRule="auto"/>
        <w:rPr>
          <w:sz w:val="20"/>
          <w:szCs w:val="20"/>
          <w:color w:val="auto"/>
        </w:rPr>
      </w:pPr>
      <w:r>
        <w:rPr>
          <w:rFonts w:ascii="Times New Roman" w:cs="Times New Roman" w:eastAsia="Times New Roman" w:hAnsi="Times New Roman"/>
          <w:sz w:val="18"/>
          <w:szCs w:val="18"/>
          <w:b w:val="1"/>
          <w:bCs w:val="1"/>
          <w:color w:val="auto"/>
        </w:rPr>
        <w:t>ETOILES CAPITAL GROUP CO., LTD AND ITS SUBSIDIARIES CONSOLIDATED STATEMENTS OF OPERATIONS AND COMPREHENSIVE INCOME FOR THE YEARS ENDED DECEMBER 31, 2024 AND 2023 (Currency expressed in United States Dollars (“USD or $”), except for number of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(534,880)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(130,494)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(859,935)</w:t>
            </w:r>
          </w:p>
        </w:tc>
        <w:tc>
          <w:tcPr>
            <w:tcW w:w="2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(1,525,309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1,000,600</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(3,770)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996,916</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35,427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 (Note 13)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(144,417)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852,499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4,053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856,552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32,766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Earning per share –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0.0461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0.0018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share reorganization (see Note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ETOILES CAPITAL GROUP CO., LTD AND ITS SUBSIDIARIES CONSOLIDATED STATEMENTS OF CHANGES IN SHAREHOLDERS’ EQUITY FOR THE YEARS ENDED DECEMBER 31, 2024 AND 2023 (Currency expressed in United States Dollars (“USD or $”), except for number of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60" w:type="dxa"/>
            <w:vAlign w:val="bottom"/>
          </w:tcPr>
          <w:p>
            <w:pPr>
              <w:spacing w:after="0"/>
              <w:rPr>
                <w:sz w:val="18"/>
                <w:szCs w:val="18"/>
                <w:color w:val="auto"/>
              </w:rPr>
            </w:pPr>
          </w:p>
        </w:tc>
        <w:tc>
          <w:tcPr>
            <w:tcW w:w="16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60" w:type="dxa"/>
            <w:vAlign w:val="bottom"/>
          </w:tcPr>
          <w:p>
            <w:pPr>
              <w:spacing w:after="0"/>
              <w:rPr>
                <w:sz w:val="21"/>
                <w:szCs w:val="21"/>
                <w:color w:val="auto"/>
              </w:rPr>
            </w:pPr>
          </w:p>
        </w:tc>
        <w:tc>
          <w:tcPr>
            <w:tcW w:w="16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60" w:type="dxa"/>
            <w:vAlign w:val="bottom"/>
          </w:tcPr>
          <w:p>
            <w:pPr>
              <w:spacing w:after="0"/>
              <w:rPr>
                <w:sz w:val="21"/>
                <w:szCs w:val="21"/>
                <w:color w:val="auto"/>
              </w:rPr>
            </w:pPr>
          </w:p>
        </w:tc>
        <w:tc>
          <w:tcPr>
            <w:tcW w:w="17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Total Share Capital</w:t>
            </w:r>
          </w:p>
        </w:tc>
        <w:tc>
          <w:tcPr>
            <w:tcW w:w="100" w:type="dxa"/>
            <w:vAlign w:val="bottom"/>
          </w:tcPr>
          <w:p>
            <w:pPr>
              <w:spacing w:after="0"/>
              <w:rPr>
                <w:sz w:val="21"/>
                <w:szCs w:val="2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1"/>
                <w:szCs w:val="21"/>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21"/>
                <w:szCs w:val="21"/>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4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No. of</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 of</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00" w:type="dxa"/>
            <w:vAlign w:val="bottom"/>
          </w:tcPr>
          <w:p>
            <w:pPr>
              <w:spacing w:after="0"/>
              <w:rPr>
                <w:sz w:val="16"/>
                <w:szCs w:val="16"/>
                <w:color w:val="auto"/>
              </w:rPr>
            </w:pPr>
          </w:p>
        </w:tc>
        <w:tc>
          <w:tcPr>
            <w:tcW w:w="130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21"/>
                <w:szCs w:val="2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21"/>
                <w:szCs w:val="21"/>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1"/>
                <w:szCs w:val="21"/>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21"/>
                <w:szCs w:val="2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4"/>
        </w:trPr>
        <w:tc>
          <w:tcPr>
            <w:tcW w:w="14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2023</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32,696</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198"/>
        </w:trPr>
        <w:tc>
          <w:tcPr>
            <w:tcW w:w="1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1"/>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4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14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8"/>
                <w:szCs w:val="18"/>
                <w:color w:val="auto"/>
              </w:rPr>
              <w:t>Balance as of</w:t>
            </w:r>
          </w:p>
        </w:tc>
        <w:tc>
          <w:tcPr>
            <w:tcW w:w="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9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29,222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31,642</w:t>
            </w:r>
          </w:p>
        </w:tc>
        <w:tc>
          <w:tcPr>
            <w:tcW w:w="0" w:type="dxa"/>
            <w:vAlign w:val="bottom"/>
          </w:tcPr>
          <w:p>
            <w:pPr>
              <w:spacing w:after="0"/>
              <w:rPr>
                <w:sz w:val="1"/>
                <w:szCs w:val="1"/>
                <w:color w:val="auto"/>
              </w:rPr>
            </w:pPr>
          </w:p>
        </w:tc>
      </w:tr>
      <w:tr>
        <w:trPr>
          <w:trHeight w:val="22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00" w:type="dxa"/>
            <w:vAlign w:val="bottom"/>
            <w:gridSpan w:val="3"/>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852,499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852,499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w:t>
            </w:r>
          </w:p>
        </w:tc>
        <w:tc>
          <w:tcPr>
            <w:tcW w:w="40" w:type="dxa"/>
            <w:vAlign w:val="bottom"/>
          </w:tcPr>
          <w:p>
            <w:pPr>
              <w:spacing w:after="0"/>
              <w:rPr>
                <w:sz w:val="18"/>
                <w:szCs w:val="18"/>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18"/>
                <w:szCs w:val="18"/>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2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42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Balance as of</w:t>
            </w:r>
          </w:p>
        </w:tc>
        <w:tc>
          <w:tcPr>
            <w:tcW w:w="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9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c>
          <w:tcPr>
            <w:tcW w:w="90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18,500,000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881,721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888,194</w:t>
            </w:r>
          </w:p>
        </w:tc>
        <w:tc>
          <w:tcPr>
            <w:tcW w:w="0" w:type="dxa"/>
            <w:vAlign w:val="bottom"/>
          </w:tcPr>
          <w:p>
            <w:pPr>
              <w:spacing w:after="0"/>
              <w:rPr>
                <w:sz w:val="1"/>
                <w:szCs w:val="1"/>
                <w:color w:val="auto"/>
              </w:rPr>
            </w:pPr>
          </w:p>
        </w:tc>
      </w:tr>
      <w:tr>
        <w:trPr>
          <w:trHeight w:val="214"/>
        </w:trPr>
        <w:tc>
          <w:tcPr>
            <w:tcW w:w="1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restated for effect of share reorganization (see Note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ETOILES CAPITAL GROUP CO., LTD AND ITS SUBSIDIARIES CONSOLIDATED STATEMENTS OF CASH FLOWS FOR THE YEARS ENDED DECEMBER 31, 2024 AND 2023 (Currency expressed in United States Dollars (“USD or $”), except for number of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852,499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33,134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41,997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(29,842)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958,314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from (to) a director</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(345,028)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27,942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149,627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(42,378)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1,622,868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63,945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(75,215)</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activity</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(75,215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Deferred IPO costs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foreign currency translation on cash and cash equivalents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480"/>
        <w:spacing w:after="0"/>
        <w:tabs>
          <w:tab w:leader="none" w:pos="2260" w:val="left"/>
        </w:tabs>
        <w:rPr>
          <w:sz w:val="20"/>
          <w:szCs w:val="20"/>
          <w:color w:val="auto"/>
        </w:rPr>
      </w:pPr>
      <w:r>
        <w:rPr>
          <w:rFonts w:ascii="Times New Roman" w:cs="Times New Roman" w:eastAsia="Times New Roman" w:hAnsi="Times New Roman"/>
          <w:sz w:val="18"/>
          <w:szCs w:val="18"/>
          <w:color w:val="auto"/>
        </w:rPr>
        <w:t>(181,688)</w:t>
      </w:r>
      <w:r>
        <w:rPr>
          <w:sz w:val="20"/>
          <w:szCs w:val="20"/>
          <w:color w:val="auto"/>
        </w:rPr>
        <w:tab/>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left="480"/>
        <w:spacing w:after="0"/>
        <w:tabs>
          <w:tab w:leader="none" w:pos="2260" w:val="left"/>
        </w:tabs>
        <w:rPr>
          <w:sz w:val="20"/>
          <w:szCs w:val="20"/>
          <w:color w:val="auto"/>
        </w:rPr>
      </w:pPr>
      <w:r>
        <w:rPr>
          <w:rFonts w:ascii="Times New Roman" w:cs="Times New Roman" w:eastAsia="Times New Roman" w:hAnsi="Times New Roman"/>
          <w:sz w:val="18"/>
          <w:szCs w:val="18"/>
          <w:color w:val="auto"/>
        </w:rPr>
        <w:t>(181,688)</w:t>
      </w:r>
      <w:r>
        <w:rPr>
          <w:sz w:val="20"/>
          <w:szCs w:val="20"/>
          <w:color w:val="auto"/>
        </w:rPr>
        <w:tab/>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jc w:val="both"/>
        <w:ind w:left="400"/>
        <w:spacing w:after="0"/>
        <w:tabs>
          <w:tab w:leader="none" w:pos="1940" w:val="left"/>
        </w:tabs>
        <w:rPr>
          <w:sz w:val="20"/>
          <w:szCs w:val="20"/>
          <w:color w:val="auto"/>
        </w:rPr>
      </w:pPr>
      <w:r>
        <w:rPr>
          <w:rFonts w:ascii="Times New Roman" w:cs="Times New Roman" w:eastAsia="Times New Roman" w:hAnsi="Times New Roman"/>
          <w:sz w:val="18"/>
          <w:szCs w:val="18"/>
          <w:color w:val="auto"/>
        </w:rPr>
        <w:t>1,365,965</w:t>
      </w:r>
      <w:r>
        <w:rPr>
          <w:sz w:val="20"/>
          <w:szCs w:val="20"/>
          <w:color w:val="auto"/>
        </w:rPr>
        <w:tab/>
      </w:r>
      <w:r>
        <w:rPr>
          <w:rFonts w:ascii="Times New Roman" w:cs="Times New Roman" w:eastAsia="Times New Roman" w:hAnsi="Times New Roman"/>
          <w:sz w:val="18"/>
          <w:szCs w:val="18"/>
          <w:color w:val="auto"/>
        </w:rPr>
        <w:t>63,945</w:t>
      </w:r>
    </w:p>
    <w:p>
      <w:pPr>
        <w:spacing w:after="0" w:line="27" w:lineRule="exact"/>
        <w:rPr>
          <w:sz w:val="20"/>
          <w:szCs w:val="20"/>
          <w:color w:val="auto"/>
        </w:rPr>
      </w:pPr>
    </w:p>
    <w:p>
      <w:pPr>
        <w:ind w:left="720"/>
        <w:spacing w:after="0"/>
        <w:tabs>
          <w:tab w:leader="none" w:pos="2260" w:val="left"/>
        </w:tabs>
        <w:rPr>
          <w:sz w:val="20"/>
          <w:szCs w:val="20"/>
          <w:color w:val="auto"/>
        </w:rPr>
      </w:pPr>
      <w:r>
        <w:rPr>
          <w:rFonts w:ascii="Times New Roman" w:cs="Times New Roman" w:eastAsia="Times New Roman" w:hAnsi="Times New Roman"/>
          <w:sz w:val="18"/>
          <w:szCs w:val="18"/>
          <w:color w:val="auto"/>
        </w:rPr>
        <w:t>4,583</w:t>
      </w:r>
      <w:r>
        <w:rPr>
          <w:sz w:val="20"/>
          <w:szCs w:val="20"/>
          <w:color w:val="auto"/>
        </w:rPr>
        <w:tab/>
      </w:r>
      <w:r>
        <w:rPr>
          <w:rFonts w:ascii="Times New Roman" w:cs="Times New Roman" w:eastAsia="Times New Roman" w:hAnsi="Times New Roman"/>
          <w:sz w:val="18"/>
          <w:szCs w:val="18"/>
          <w:color w:val="auto"/>
        </w:rPr>
        <w:t>76</w:t>
      </w:r>
    </w:p>
    <w:p>
      <w:pPr>
        <w:spacing w:after="0" w:line="9"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70,476</w:t>
      </w:r>
      <w:r>
        <w:rPr>
          <w:sz w:val="20"/>
          <w:szCs w:val="20"/>
          <w:color w:val="auto"/>
        </w:rPr>
        <w:tab/>
      </w:r>
      <w:r>
        <w:rPr>
          <w:rFonts w:ascii="Times New Roman" w:cs="Times New Roman" w:eastAsia="Times New Roman" w:hAnsi="Times New Roman"/>
          <w:sz w:val="18"/>
          <w:szCs w:val="18"/>
          <w:color w:val="auto"/>
        </w:rPr>
        <w:t>6,455</w:t>
      </w:r>
    </w:p>
    <w:p>
      <w:pPr>
        <w:spacing w:after="0" w:line="58" w:lineRule="exact"/>
        <w:rPr>
          <w:sz w:val="20"/>
          <w:szCs w:val="20"/>
          <w:color w:val="auto"/>
        </w:rPr>
      </w:pPr>
    </w:p>
    <w:p>
      <w:pPr>
        <w:spacing w:after="0"/>
        <w:tabs>
          <w:tab w:leader="none" w:pos="380" w:val="left"/>
          <w:tab w:leader="none" w:pos="1320" w:val="left"/>
          <w:tab w:leader="none" w:pos="194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1,441,024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Transactions:</w:t>
            </w:r>
          </w:p>
        </w:tc>
        <w:tc>
          <w:tcPr>
            <w:tcW w:w="2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obligations</w:t>
            </w:r>
          </w:p>
        </w:tc>
        <w:tc>
          <w:tcPr>
            <w:tcW w:w="20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95,174</w:t>
            </w:r>
          </w:p>
        </w:tc>
        <w:tc>
          <w:tcPr>
            <w:tcW w:w="6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were no significant non-cash investing or financing transactions during the years ended December 31, 2024 and 2023.</w:t>
            </w: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Supplementary cash flow information:</w:t>
            </w:r>
          </w:p>
        </w:tc>
        <w:tc>
          <w:tcPr>
            <w:tcW w:w="2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2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ORGANIZATION AND PRINCIPAL ACTIVITIES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Etoiles Capital Group Co., Ltd </w:t>
      </w:r>
      <w:r>
        <w:rPr>
          <w:rFonts w:ascii="Times New Roman" w:cs="Times New Roman" w:eastAsia="Times New Roman" w:hAnsi="Times New Roman"/>
          <w:sz w:val="18"/>
          <w:szCs w:val="18"/>
          <w:color w:val="auto"/>
        </w:rPr>
        <w:t>(the “Company”) was incorporated in the Cayman Islands on September 13, 2024, as an exempted company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and serves as an investment holding company. The Company conducts its business operations through its indirectly wholly-owned subsidiaries (herein collectively referred to as the “Group”), which include:</w:t>
      </w:r>
    </w:p>
    <w:p>
      <w:pPr>
        <w:spacing w:after="0" w:line="171" w:lineRule="exact"/>
        <w:rPr>
          <w:sz w:val="20"/>
          <w:szCs w:val="20"/>
          <w:color w:val="auto"/>
        </w:rPr>
      </w:pPr>
    </w:p>
    <w:p>
      <w:pPr>
        <w:ind w:left="660" w:hanging="328"/>
        <w:spacing w:after="0" w:line="28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Etoiles Consultancy Limited </w:t>
      </w:r>
      <w:r>
        <w:rPr>
          <w:rFonts w:ascii="Times New Roman" w:cs="Times New Roman" w:eastAsia="Times New Roman" w:hAnsi="Times New Roman"/>
          <w:sz w:val="18"/>
          <w:szCs w:val="18"/>
          <w:color w:val="auto"/>
        </w:rPr>
        <w:t>(formerly known as Shum Yin Consultancy Limited) (“Etoiles Consultancy”), incorporated and domiciled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Hong Kong Special Administrative Region (“HK SAR”), specializing in providing integrated investor relations services.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Etoiles Financial Group Limited </w:t>
      </w:r>
      <w:r>
        <w:rPr>
          <w:rFonts w:ascii="Times New Roman" w:cs="Times New Roman" w:eastAsia="Times New Roman" w:hAnsi="Times New Roman"/>
          <w:sz w:val="18"/>
          <w:szCs w:val="18"/>
          <w:color w:val="auto"/>
        </w:rPr>
        <w:t>(“Etoiles Financial”), incorporated and domiciled in HK SAR, which remains inactive as of the date of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is headquartered in Hong Kong, where its primary operations focus on delivering integrated investor relations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30257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302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the Company’s subsidiaries are detailed in the table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Direct/indirect</w:t>
            </w:r>
          </w:p>
        </w:tc>
        <w:tc>
          <w:tcPr>
            <w:tcW w:w="21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21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economic</w:t>
            </w:r>
          </w:p>
        </w:tc>
        <w:tc>
          <w:tcPr>
            <w:tcW w:w="2140" w:type="dxa"/>
            <w:vAlign w:val="bottom"/>
          </w:tcPr>
          <w:p>
            <w:pPr>
              <w:spacing w:after="0"/>
              <w:rPr>
                <w:sz w:val="18"/>
                <w:szCs w:val="18"/>
                <w:color w:val="auto"/>
              </w:rPr>
            </w:pPr>
          </w:p>
        </w:tc>
      </w:t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ownership %</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activity</w:t>
            </w:r>
          </w:p>
        </w:tc>
      </w:tr>
      <w:tr>
        <w:trPr>
          <w:trHeight w:val="198"/>
        </w:trPr>
        <w:tc>
          <w:tcPr>
            <w:tcW w:w="26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Zynergy Holding Co., Limited</w:t>
            </w: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 BVI company</w:t>
            </w:r>
          </w:p>
        </w:tc>
        <w:tc>
          <w:tcPr>
            <w:tcW w:w="1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Incorporated on December</w:t>
            </w: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Holding company</w:t>
            </w:r>
          </w:p>
        </w:tc>
      </w:tr>
      <w:tr>
        <w:trPr>
          <w:trHeight w:val="234"/>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(“Zynergy BVI”)</w:t>
            </w: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27, 2023</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Etoiles Consultancy</w:t>
            </w:r>
          </w:p>
        </w:tc>
        <w:tc>
          <w:tcPr>
            <w:tcW w:w="21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 Hong Kong company</w:t>
            </w:r>
          </w:p>
        </w:tc>
        <w:tc>
          <w:tcPr>
            <w:tcW w:w="21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Incorporated on October 9,</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2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Integrated investor relations</w:t>
            </w: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service</w:t>
            </w: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Etoiles Financial</w:t>
            </w:r>
          </w:p>
        </w:tc>
        <w:tc>
          <w:tcPr>
            <w:tcW w:w="214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A Hong Kong company</w:t>
            </w:r>
          </w:p>
        </w:tc>
        <w:tc>
          <w:tcPr>
            <w:tcW w:w="21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Incorporated on November</w:t>
            </w:r>
          </w:p>
        </w:tc>
        <w:tc>
          <w:tcPr>
            <w:tcW w:w="2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Inactive</w:t>
            </w:r>
          </w:p>
        </w:tc>
      </w:tr>
      <w:tr>
        <w:trPr>
          <w:trHeight w:val="234"/>
        </w:trPr>
        <w:tc>
          <w:tcPr>
            <w:tcW w:w="2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16, 2023</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655"/>
        </w:trPr>
        <w:tc>
          <w:tcPr>
            <w:tcW w:w="2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F-7</w:t>
            </w:r>
          </w:p>
        </w:tc>
        <w:tc>
          <w:tcPr>
            <w:tcW w:w="2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 ORGANIZATION AND PRINCIPAL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Group reorganization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 reorganization of the Group to rationalize the structure of the Group in preparation for the listing of our Class A Ordinary Shares, the Company became the holding company of the Group on November 3, 2024. Prior to the reorganization, all the issued share capital of Etoiles Consultancy and Etoiles Financial was held by Zynergy BVI, which was held by Etoiles Zeneo Investment Limited. As part of this reorganization, on November 3, 2024, the Company acquired all the issued share capital of Zynergy BVI from Etoiles Zeneo Investment Limited at cash considerations of $1.</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Company and its subsidiaries were under the common control of the shareholders, and their equity interests were ultimately held by the same parties immediately before and after the reorganization, the reorganization was accounted for as a recapitalization. Accordingly, the consolidated financial statements of the Group have been prepared at historical cost, as if the reorganization had been in effect as of the beginning of the earliest period presented. The consolidated financial statements reflect the current group structure as if it had been in existence throughout the two-year period ended December 31, 2024, or since the incorporation/establishment of the relevant entities where applicable.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movement in the Company’s authorized share capital and the number of ordinary shares outstanding and issued in the Company are also detailed in the Note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 and basis of preparation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Group. The Group eliminates all significant intercompany balances and transactions in the consolidated financial statements.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has prepared the accompanying consolidated financial statements and these notes in accordance to generally accepted accounting principles in the United States (“US GAAP”) and pursuant to the rules and regulations of the Securities Exchange Commission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Management makes these estimates using the best information available when the calculations are made. Significant accounting estimates reflected in the Group’s its audited consolidated financial statement include the useful lives of plant and equipment, impairment of long-lived assets, operating right-of-use assets and lease liabilities, allowance for credit loss, revenue recognition, deferred taxes and uncertain tax position. Actual results could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USD, which is the reporting currency of the Group. The functional currency of the Company’s subsidiaries in Hong Kong is Hong Kong Dollars (“HKD” or “HK$”) and the functional currency of its subsidiary incorporated in the British Virgin Islands is United States Dollars. These are considered their respective local currencies based on the criteria of ASC 830, “Foreign Currency Matters.”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results of operations and the consolidated statements of cash flows denominated in foreign currency are translated at the average rate of exchange during the reporting period. Assets and liabilities denominated in foreign currencies at the consolidated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consolidated statements of cash flows will not necessarily agree with changes in the corresponding balances on the consolidated balance sheets. Translation adjustments arising from the use of different exchange rates from period to period are included as a separate component of accumulated other comprehensive income (loss) included in consolidated statements of shareholders’ equity. Gains and losses from foreign currency transactions are included in the Company’s consolidated statements of operations and comprehensive income (loss).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currency exchange rates that were used in preparing the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Year-end $: HK$ exchange rate</w:t>
            </w:r>
          </w:p>
        </w:tc>
        <w:tc>
          <w:tcPr>
            <w:tcW w:w="1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2"/>
              </w:rPr>
              <w:t>7.7677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Year average $: HK$ exchange rate</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7.8030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7.8292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of petty cash on hand and cash held in banks, which are highly liquid and have original maturities of three months or less and are unrestricted as to withdrawal or use. The Group maintains all bank accounts in domestic banks of Hong Kong. Cash balances in bank accounts in Hong Kong are protected under Deposit Protection Scheme in accordance with the Deposit Protection Scheme Ordinance (Chapter 581 of the laws of Hong Kong). The maximum protection was up to HKD500,000 (approximately US$64,078) and has been raised to HKD800,000 (approximately US$102,991) from October 1, 2024 per depositor per Scheme member, including both principal and interest.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Prepayment and deposits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Prepayment is mainly payment made to vendors or services providers for future services that have not been provided. These amounts are non-refundable and bear no interest. Prepayments represent advance payments made to the service providers for future services. Prepayments are short-term in nature and are reviewed periodically to determine whether their carrying value has become impaired.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Deposits are mainly for rent, utilities and money deposited with certain vendors. These amounts are refundable and bear no interest. The short-term deposits usually have a one-year term and are refundable upon contract termination. The long-term deposits are refunded from suppliers when terms and conditions set forth in the agreements have been satisfied.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considers the prepayments and deposits to be impaired if the realizability of these amounts become doubtful. As of December 31, 2024 and 2023, there was nil allowance recorded as the Group considers all of the prepayments and deposits recoverable. Management reviews periodically to determine if the allowance is adequate and adjusts the allowance when necessary. The allowance is based on management’s best estimate of specific losses on individual exposures, as well as a provision on historical trends of collections and utilizations. Actual amounts received or utilized may differ from management’s estimate of credit worthiness and the economic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 net</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any impairment losses. Depreciation is provided over their estimated useful lives, using the straight-line method. The Group typically applies a salvage value of 0%. The estimated useful lives of the plan and equipment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58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Over the shorter of the remaining lease term or five years</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Computer</w:t>
            </w:r>
          </w:p>
        </w:tc>
        <w:tc>
          <w:tcPr>
            <w:tcW w:w="758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4 years</w:t>
            </w:r>
          </w:p>
        </w:tc>
      </w:tr>
      <w:tr>
        <w:trPr>
          <w:trHeight w:val="677"/>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F-9</w:t>
            </w:r>
          </w:p>
        </w:tc>
      </w:tr>
    </w:tbl>
    <w:p>
      <w:pPr>
        <w:sectPr>
          <w:pgSz w:w="11900" w:h="16838" w:orient="portrait"/>
          <w:cols w:equalWidth="0" w:num="1">
            <w:col w:w="11240"/>
          </w:cols>
          <w:pgMar w:left="320" w:top="90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 and related accumulated depreciation of assets sold or otherwise retired are eliminated from the accounts, and any gain or loss are included in the Group’s consolidated statements of operations and comprehensive income. The costs of maintenance and repairs are recognized as incurred; significant renewals and betterments, which substantially extend the useful life of assets, are capitalized.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long-lived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representing property and equipment with finite lives are reviewed for impairment whenever events or changes in circumstances (such as a significant adverse change to market conditions that will impact the future use of the assets) indicate that the carrying value of an asset may not be recoverable. We assess the recoverability of the assets based on the undiscounted future cash flows the assets are expected to generate and recognize an impairment loss when estimated undiscounted future cash flows expected to result from the use of the asset plus net proceeds expected from disposition of the asset, if any, are less than the carrying value of the asset. If an impairment is identified, we would reduce the carrying amount of the asset to its estimated fair value based on a discounted cash flows approach or, when available and appropriate, to comparable market values. As of December 31, 2024 and 2023, no impairment of long-lived assets was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IPO costs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direct and incremental costs incurred in connection with its planned initial public offering (“IPO”). These deferred offering costs are recorded as a non-current asset on the balance sheet. Upon successful completion of the IPO, the deferred offering costs are reclassified as a reduction of the IPO proceeds in shareholders’ equity. If the IPO is abandoned, these costs are immediately expensed in the period of abandonment.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applies the provisions of ASC Topic 842, Leases which requires lessees to recognize lease assets and lease liabilities on the consolidated balance sheet. The Company determines whether a contract is or contains a lease at inception of the contract and whether that lease meets the classification criteria of a finance or operating lease. When available, the Company uses the rate implicit in the lease to discount lease payments to present value; however, most of the Company’s leases do not provide a readily determinable implicit rate. Therefore, the Company must discount lease payments based on an estimate of its incremental borrowing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right-of-use assets consist of leased assets recognized in accordance with ASC 842, Leases, which requires lessees to recognize a lease liability and a corresponding lease asset for virtually all lease contracts. Right-of-use assets represent the Company’s right to use an underlying asset for the lease term and lease liability represents the Company’s obligation to make lease payments arising from the lease, both of which are recognized based on the present value of the future minimum lease payments over the lease term at the commencement date. Leases with a lease term of 12 months or less at inception are not recorded on the consolidated balance sheet and are expensed on a straight-line basis over the lease term in the consolidated statements of operations and comprehensive loss. The Company determines the lease term by agreement with lessor. In cases where the lease does not provide an implicit interest rate, the Company uses the Company’s incremental borrowing rate based on the information available at commencement date in determining the present value of future payments.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parties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 adopted ASC 850, Related Party Disclosures, for the identification of related parties and disclosure of related party transactions. In general, related parties exist when there is a relationship that offers the potential for transactions at less than arm’s-length, favorable treatment, or the ability to influence the outcome of events different from that which might result in the absence of that relationship. A related party may be any of the following: a) an affiliate, which is a party that directly or indirectly controls, is controlled by, or is under common control with another party; b) a principal owner, owner of record or known beneficial owner of more than 10% of the voting interest of an entity; c) management, which are persons having responsibility for achieving objectives of the entity and requisite authority to make decision; d) immediate family of management or principal owners; e) a parent Company and its subsidiaries; and f) other parties that have ability to significantly influence the management or operating policies of the entity. The Group discloses all significant related party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the accounts receivable and contract liabilities on the consolidated balance sheets.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recognized for services performed but not yet billed to clients are recorded as contract assets. The Group recognizes advance payments from its clients for services that have not yet been performed or earned as contract liabilities. When consideration is received, or such consideration is unconditionally due from a customer prior to transferring consulting services to the customer under the terms of a contract, a contract liability is recorded. Contract liabilities are recognized as revenue after performance obligations have been satisfied and all revenue recognition criteria have been met.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defines accounts receivable as assets for which it has recorded revenue because it determines that it is probable that it will earn a contractually agreed-upon fee, but is not yet entitled to receive a fee because certain events, such as completion of the measurement period or client approval, must occur.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recognized contract liabilities of $958,314 and nil as at December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is recognized to depict the transfer of promised services to customers in an amount that reflects the consideration to which the company expects to be entitled in exchange for those goods or services. The following five steps are applied to achieve that core principle: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five-step model defined by ASC Topic 606 requires the Group to:</w:t>
      </w:r>
    </w:p>
    <w:p>
      <w:pPr>
        <w:spacing w:after="0" w:line="225"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contracts with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its performance obligations under those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prices of those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prices to its performance obligations in those contracts;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each performance obligation under those contracts is satisfied. Revenue is recognized when promised services are transferred to the client in an amount that reflects the consideration expected in exchange for those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elected a practical expedient that it does not adjust the promised amount of consideration for the effects of a significant financing component if the Group expects that, upon the inception of revenue contracts, the period between when the Group transfers its promised services or deliverables to its clients and when the clients pay for those services or deliverables will be one year or less.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practical expedient, the Group elected to expense the incremental costs of obtaining a contract when incurred if the amortization period of the asset that the Group otherwise would have recognized is one year or less.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has elected as a practical expedient to not disclose the aggregate amount of the transaction price allocated to unsatisfied performance obligations as of December 31, 2024 and December 31, 2023, as the Group’s contracts generally have an original expected duration of one year or less or revenue has been recognized at the amount for which the Group has the right to invoice for consulting services performed.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Group is a professional services provider in Hong Kong that principally engages in the integrated investor relations services.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derives substantially all of its revenues from the performance of professional services for its clients based on a fixed-price arrangement. Fixed-price arrangements require the client to pay a contractually agreed-upon fee in exchange for a pre-established set of professional services. The Group’s fixed-price arrangements have a single performance obligation.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generally enters into distinct contracts with its clients for integrated investor relations services. These services include assisting clients in promoting their corporate image, managing relationships with investors, and conducting tailored due diligence exercises. Specifically, our services comprise: (i) management of public relations, including promotional planning, media coordination, and crisis management; (ii) management of investor relations, including drafting media documents and coordinating shareholder engagements; (iii) tailored due diligence exercises on investment or acquisition targets; and (iv) other value-added services such as website design enhancement and promotional video production.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generated from integrated investor relations services is structured based on service agreements in which clients pay a predetermined fee for a defined set of services. However, rather than adhering to a fixed billing arrangement, payments are made according to a mutually agreed-upon schedule outlined in the respective service agreements.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enters into service agreements with its customers that outline the rights, responsibilities, and obligations of each party. The agreements also identify the scope of services, service fees, and payment terms. Agreements are acknowledged and signed by both parties. All the contracts have commercial substance, and it is probable that the Group will collect considerations from its customers for service component.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recognized when the Group satisfies a performance obligation by transferring services promised in a contract to a client in an amount that reflects the consideration that the Group expects to receive in exchange for those services. Performance obligations in the Group’s contracts represent distinct or separate service streams that the Group provides to clients. If, at the outset of an arrangement, the Group determines that an enforceable contract does not exist, revenues are deferred until all criteria for an enforceable contract are met.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Group usually issues invoices to its customers and payment is usually due upon receipt of the invoice according to a mutually agreed-upon schedule outlined in contract terms stated.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Under ASC 606, the Company has evaluated whether it acts as a principal or an agent in its revenue transactions. The distinction is crucial as it affects how revenue is recognized: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Principal: The Company acts as the principal if it controls the specified goods or services before they are transferred to the customer. As a principal, the Company recognizes revenue for the gross amount of consideration expected from the customer.</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Agent: The Company acts as an agent if it facilitates the provision of goods or services by another party. As an agent, revenue is recognized as the net amount of the fee or commission earned for arranging the goods or services.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has determined that it acts as the principal for all the revenue. This conclusion is based on the Company’s control over the goods or services before they are transferred to the customer, its primary responsibility for fulfilling the contract, its exclusive right to select service providers, and its discretion in establishing pricing.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integrated investor relations services involve a series of distinct tasks that collectively meet the criteria for recognizing revenue over time. The Group determines that the services provided each month are substantially similar in nature, with the client consuming a consistent benefit each month, even if the volume of services delivered varies. Consequently, the services are considered substantially similar and result in the transfer of substantially similar benefits to the client.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Based on this assessment, the Group concludes that the services provided satisfy the requirements of ASC 606-10-25-14(b) to be accounted for as a single performance obligation. Revenue from integrated investor relations services is therefore recognized on a monthly basis, as the Group satisfies its performance obligations throughout the contract term.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some cases the client specifically requests services related to one-off investor relation tasks which are provided under separately agreed service agreement. One-off services provide promised services including event management and logistics, international road shows, brochure design and printing, update website content. Revenue for these services is recognized at a point in time when the Group has fully completed the agreed-upon deliverables, and the client has obtained control of the service output. This typically occurs when the specified deliverables are completed and transferred to the client, as outlined in the service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disaggregated by timing of revenue recognition for the years ended December 31, 2024 and 2023 is disclosed in the table below:</w:t>
      </w:r>
    </w:p>
    <w:p>
      <w:pPr>
        <w:spacing w:after="0" w:line="23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 Over time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 Point in Time</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319,165</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820" w:type="dxa"/>
            <w:vAlign w:val="bottom"/>
            <w:gridSpan w:val="2"/>
            <w:shd w:val="clear" w:color="auto" w:fill="CCEEFF"/>
          </w:tcPr>
          <w:p>
            <w:pPr>
              <w:ind w:left="8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2,525,909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shd w:val="clear" w:color="auto" w:fill="CCEEFF"/>
          </w:tcPr>
          <w:p>
            <w:pPr>
              <w:spacing w:after="0"/>
              <w:rPr>
                <w:sz w:val="21"/>
                <w:szCs w:val="2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32"/>
        </w:trPr>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for the Group’s revenue by geographical area for the years ended December 31, 2024 and 2023:</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2,318,605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91,964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820" w:type="dxa"/>
            <w:vAlign w:val="bottom"/>
            <w:gridSpan w:val="2"/>
          </w:tcPr>
          <w:p>
            <w:pPr>
              <w:ind w:left="8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2,525,909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amounts of transaction prices allocated to the remaining performance obligations (unsatisfied or partially unsatisfied) as at December 31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Amounts expected to be recognized as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1,150,461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116,787</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1,267,248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expects to recognize majority of the related revenue as it provides services to its clients, which is expected to occur within 1 year for the integrated investor relations services. The Group elected to utilize the optional exemption to exclude from this disclosure the remaining performance obligations that have original expected duration of one year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is mainly generated from savings and time deposits and is recognized on an accrual basis using the effective interest method.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Costs of revenue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of revenue include the salaries, bonuses, and benefits of the Group’s employee consultants. Costs of revenue also include out-of-pocket and other third-party vendor expenses, and the salaries of support staff whose time is billed directly to clients, as well as the amounts billed to us by our outside consultants for services rendered while completing a project. Costs of revenue does not include depreciation and amortization.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contracts the Group enters into and operates under specify whether the projects are billed on a fixed-price basis. Fixed-price contracts are principally used for management consulting projects. In general, project costs are classified in costs of revenue and are based on the direct salary of the Group’s employee consultants on the engagement, plus all direct expenses incurred to complete the project, including any amounts billed to the Group by its non-employee experts.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principal employee’s retirement scheme is under the Hong Kong Mandatory Provident Fund Schemes Ordinance. Contributions are made by both the employer and the employee at the rate of 5% on the employee’s relevant salary income, subject to a cap of monthly relevant income of HK$30,000 (US$3,844).</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total amount charged to the consolidated statements of income in respect of the Company’s costs incurred on the Mandatory Provident Fund Scheme were HK$189,588 (US$24,297) and HK$4,500 (US$575),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Group accounts for income taxes pursuant to ASC Topic 740, Income Taxes. Income taxes are provided on an asset and liability approach for financial accounting and reporting of income taxes. Any tax paid by subsidiaries during the year is recorded. Current tax is based on the profit or loss from ordinary activities adjusted for items that are non-assessable or disallowable for income tax purpose and is calculated using tax rates that have been enacted or substantively enacted at the balance sheet date. ASC Topic 740 also requires the recognition of deferred tax assets and liabilities for both the expected impact of differences between the financial statements and the tax basis of assets and liabilities, and for the expected future tax benefit to be derived from tax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ASC Topic 740 additionally requires the establishment of a valuation allowance to reflect the likelihood of realization of deferred tax assets. Realization of deferred tax assets are dependent upon future earnings, if any, of which the timing and amount are uncertain.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Group adopted ASC Topic 740-10-05, “Income Taxes: Overview and Background”, which provides guidance for recognizing and measuring uncertain tax positions, it prescribes a threshold condition that a tax position must meet for any of the benefits of the uncertain tax position to be recognized in the financial statements. It also provides accounting guidance on derecognizing, classification and disclosure of these uncertain tax positions.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Related parties</w:t>
      </w:r>
    </w:p>
    <w:p>
      <w:pPr>
        <w:spacing w:after="0" w:line="22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operates and manages its business as a single segment, in accordance with ASC 280, Segment Reporting. The Group’s chief operating decision maker (“CODM”) is the Chairman. The Group’s CODM assess the Group’s performance and results of operations on a consolidated basis. The Group generates substantially all of its revenues from clients that are incorporated in the Hong Kong, China and United States. Although some clients are legally domiciled outside Hong Kong, the Group’s engagement and service execution are primarily conducted in Hong Kong. Accordingly, no geographical segments are presented. Substantially all of the Group’s long-lived assets are located in Hong Kong.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Group computes earnings per share (“EPS”) in accordance with ASC 260, “Earnings per Share”. ASC 260 requires companies to present basic and diluted EPS. Basic EPS is measured as net income divided by the weighted average ordinary share outstanding for the period. Diluted EPS presents the dilutive effect on a per-share basis of the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Comprehensive Income</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Group presents comprehensive income in accordance with ASC Topic 220,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ASC Topic 220 states that all items that are required to be recognized under accounting standards as components of comprehensive income be reported in the consolidated financial statements. The components of comprehensive income were the net income for the years and the foreign currency translation adjustments.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represents trade accounts due from customers for Integrated investor relations services which are recorded net of allowance for the Group’s doubtful accounts. The Group grants 30 days credit terms to the clients. The trade receivables are all without customer collateral and interest is not accrued on past due accounts.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The approach considers factors including historical ageing schedule and forward-looking macroeconomic conditions. Account balances are charged off against the allowance after all means of collection have been exhausted and the likelihood of collection is not probable. As of December 31, 2024 and 2023, no allowance for doubtful accounts was recognized, as management determined that expected credit losses were not material based on historical collection experience and other relevant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Expected credit loss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ASU No. 2016-13, Financial Instruments — Credit Losses (Topic 326): Measurement of Credit Losses on Financial Instruments requires entities to use a current lifetime expected credit loss methodology to measure impairments of certain financial assets. Accounts receivable are recognized and carried at original invoiced amount net of expected losses. The Company established the provision at differing rates and are based upon the age of the trade receivable, the Company’s historical collection experience in each customer and management’s best estimate of specific losses on individual exposures, where appropriate. Specific customer provisions are made when a review of significant outstanding amounts, utilizing information about customer creditworthiness and current economic trends, indicates that collection is doubtful.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 expenses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&amp; administrative expenses primarily consist of accounting fees, consulting fees, information technology expenses, entertainment, director remuneration which are not attributable to the revenue-generating activities, wages and salaries, and overseas traveling expenses, among others.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and marketing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expenses consist primarily of marketing expenses incurred to promote our Group’s brand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Group’s financial instruments, including cash and cash equivalents, deposits, accounts and other receivables, accrued liabilities, amount due from (to) a director, contract liabilities and operating lease liabilities. ASC Topic 820, “Fair Value Measurements and Disclosures” requires disclosing the fair value of financial instruments held by the Group. ASC Topic 825, “Financial Instruments” defines fair value and establishes a three-level valuation hierarchy for disclosures of fair value measurement that enhances disclosure requirements for fair value measures. The carrying amounts reported in the audited consolidated balance sheets for cash and cash equivalents, accounts and other receivables, accrued liabilities, amount due from (to) a director and operating lease liabilities qualify as financial instruments and are a reasonable estimate of their fair values because of the short period between the origination of such instruments and their expected realization and their current market rate of interest. The three levels of valuation hierarchy are defined as follows:</w:t>
      </w:r>
    </w:p>
    <w:p>
      <w:pPr>
        <w:spacing w:after="0" w:line="192"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used quoted prices for identical assets or liabilities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similar assets and liabilities in active markets and information that are observable for the asset or liability, either directly or indirectly, for substantially the financial instrument’s full term.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Group analyzes all financial instruments with features of both liabilities and equity under ASC 480, “Distinguishing Liabilities from Equity” and ASC 815, “Derivatives and Hedging”.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SUMMARY OF SIGNIFICANT ACCOUNTING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which is an update to Topic 280, Segment Reporting. The amendments in this Update improve financial reporting by requiring disclosure of incremental segment information on an annual and interim basis for all public entities to enable investors to develop more decision-useful financial analyses. The amendments in this update: (1)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(2) Require that a public entity disclose, on an annual and interim basis, an amount for other segment items by reportable segment and a description of its composition. The other segment items category is the difference between segment revenue less the segment expenses disclosed under the significant expense principle and each reported measure of segment profit or loss,</w:t>
      </w:r>
    </w:p>
    <w:p>
      <w:pPr>
        <w:spacing w:after="0" w:line="3" w:lineRule="exact"/>
        <w:rPr>
          <w:sz w:val="20"/>
          <w:szCs w:val="20"/>
          <w:color w:val="auto"/>
        </w:rPr>
      </w:pPr>
    </w:p>
    <w:p>
      <w:pPr>
        <w:jc w:val="both"/>
        <w:ind w:firstLine="8"/>
        <w:spacing w:after="0" w:line="251" w:lineRule="auto"/>
        <w:tabs>
          <w:tab w:leader="none" w:pos="2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 public entity provide all annual disclosures about a reportable segment’s profit or loss and assets currently required by Topic 280 in interim periods, and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unaudited interim condensed consolidated financial statements. In other words, in addition to the measure that is most consistent with the measurement principles under generally accepted accounting principles (GAAP), a public entity is not precluded from reporting additional measures of a segment’s profit or loss that are used by the CODM in assessing segment performance and deciding how to allocate resources, (5) Require that a public entity disclose the title and position of the CODM and an explanation of how the CODM uses the reported measure(s) of segment profit or loss in assessing segment performance and deciding how to allocate resources, and (6) Require that a public entity that has a single reportable segment provide all the disclosures required by the amendments in this Update and all existing segment disclosures in Topic 280. The amendments in this Update also do not change how a public entity identifies its operating segments, aggregates those operating segments, or applies the quantitative thresholds to determine its reportable segments. The amendments in this Update are effective for fiscal years beginning after December 15, 2023, and interim periods within fiscal years beginning after December 15, 2024. Early adoption is permitted. A public entity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are evaluating the effect this guidance will have on our segment disclosures.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which is an update to Topic 740, Income Taxes. The amendments in this update related to the rate reconciliation and income taxes paid disclosures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5 The other amendments in this Update improve the effectiveness and comparability of disclosures by (1) adding disclosures of pretax income (or loss) and income tax expense (or benefit) to be consistent with U.S. Securities and Exchange Commission (SEC) Regulation S-X 210.4-08(h), Rules of General Application — General Notes to Financial Statements: Income Tax Expense, and (2) removing disclosures that no longer are considered cost beneficial or relevant. For public business entities, the amendments in this Update are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in this Update should be applied on a prospective basis. Retrospective application is permitted. We are evaluating the effect this guidance will have on our tax disclosures.</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Except for the above-mentioned pronouncements, there are no new recent issued accounting standards that will have material impact on the consolidated balance sheets, statements of operations and comprehensive income and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NOTE 3 — ACCOUNTS RECEIVABLE, NET</w:t>
            </w: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4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36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9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expected credit loss</w:t>
            </w:r>
          </w:p>
        </w:tc>
        <w:tc>
          <w:tcPr>
            <w:tcW w:w="3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9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gridSpan w:val="2"/>
            <w:vMerge w:val="continue"/>
            <w:shd w:val="clear" w:color="auto" w:fill="CCEEFF"/>
          </w:tcPr>
          <w:p>
            <w:pPr>
              <w:spacing w:after="0"/>
              <w:rPr>
                <w:sz w:val="21"/>
                <w:szCs w:val="21"/>
                <w:color w:val="auto"/>
              </w:rPr>
            </w:pPr>
          </w:p>
        </w:tc>
        <w:tc>
          <w:tcPr>
            <w:tcW w:w="42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F-17</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4 — DEPOSITS AND OTHER CURRENT ASSETS, NET</w:t>
            </w: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Deposits and other current assets, net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Prepayment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11,249</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amount classified as non-current assets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(18,593)</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classified as current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3"/>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8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000000"/>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cost: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Computers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4,072</w:t>
            </w:r>
          </w:p>
        </w:tc>
        <w:tc>
          <w:tcPr>
            <w:tcW w:w="24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(33,283)</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3"/>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years ended December 31, 2024 and 2023 was $33,134 and nil, respectively. No impairment loss was recognized for the years ended December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DEFERRED INITIAL PUBLIC OFFERING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the Group has capitalized deferred offering costs which consist primarily of legal, accounting, and other professional fees incurred in connection with the Company’s planned initial public offering (IPO). These costs are included as Deferred IPO Costs on the consolidated balance sheet as non-current assets. Upon the successful completion of the IPO, these costs will be reclassified as a reduction of in shareholders’ equity. If the IPO is not consummated, the deferred offering costs will be expensed in the period when the offering is abandoned.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initial public offering costs consist of the following:</w:t>
            </w: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510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and other fees</w:t>
            </w:r>
          </w:p>
        </w:tc>
        <w:tc>
          <w:tcPr>
            <w:tcW w:w="3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Legal fees</w:t>
            </w:r>
          </w:p>
        </w:tc>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97,292</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vMerge w:val="continue"/>
            <w:shd w:val="clear" w:color="auto" w:fill="CCEEFF"/>
          </w:tcPr>
          <w:p>
            <w:pPr>
              <w:spacing w:after="0"/>
              <w:rPr>
                <w:sz w:val="21"/>
                <w:szCs w:val="21"/>
                <w:color w:val="auto"/>
              </w:rPr>
            </w:pPr>
          </w:p>
        </w:tc>
        <w:tc>
          <w:tcPr>
            <w:tcW w:w="3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3036"/>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Group has operating leases for office spaces. As of December 31, 2024 and 2023, there were approximately $53,418 and nil right of use (“ROU”) assets and approximately $53,418 and nil lease liabilities based on the present value of the future minimum rental payments of leases, respectively. The Group’s management believes that using an incremental borrowing rate of the Hong Kong Dollar Prime lending Rate 5.25% p.a. (2023: nil) was the most indicative rate of the Group’s borrowing cost for the calculation of the present value of the lease payments.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December 31, 2024 and 2023, lease liabilities consist of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4,577</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lease cost recognized in the Group’s consolidated statements of income and supplemental cash flow information related to operating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charge of right-of-use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41,997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3"/>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95,174</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Interest of lease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3,770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gridSpan w:val="3"/>
            <w:vMerge w:val="continue"/>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2"/>
              </w:rPr>
              <w:t>45,767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Other lease information is as follows:</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9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 years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is a schedule of future minimum payments under operating leases as of December 31, 2024: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9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960" w:type="dxa"/>
            <w:vAlign w:val="bottom"/>
            <w:tcBorders>
              <w:bottom w:val="single" w:sz="8" w:color="CCEEFF"/>
            </w:tcBorders>
          </w:tcPr>
          <w:p>
            <w:pPr>
              <w:spacing w:after="0"/>
              <w:rPr>
                <w:sz w:val="21"/>
                <w:szCs w:val="21"/>
                <w:color w:val="auto"/>
              </w:rPr>
            </w:pPr>
          </w:p>
        </w:tc>
        <w:tc>
          <w:tcPr>
            <w:tcW w:w="54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obligations</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recognized in the consolidated balance sheet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1"/>
        </w:trPr>
        <w:tc>
          <w:tcPr>
            <w:tcW w:w="86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140" w:type="dxa"/>
            <w:vAlign w:val="bottom"/>
          </w:tcPr>
          <w:p>
            <w:pPr>
              <w:spacing w:after="0"/>
              <w:rPr>
                <w:sz w:val="24"/>
                <w:szCs w:val="24"/>
                <w:color w:val="auto"/>
              </w:rPr>
            </w:pPr>
          </w:p>
        </w:tc>
        <w:tc>
          <w:tcPr>
            <w:tcW w:w="24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29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tcPr>
          <w:p>
            <w:pPr>
              <w:spacing w:after="0"/>
              <w:rPr>
                <w:sz w:val="20"/>
                <w:szCs w:val="20"/>
                <w:color w:val="auto"/>
              </w:rPr>
            </w:pPr>
          </w:p>
        </w:tc>
        <w:tc>
          <w:tcPr>
            <w:tcW w:w="54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16,812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bottom w:val="single" w:sz="8" w:color="CCEEFF"/>
            </w:tcBorders>
            <w:gridSpan w:val="2"/>
            <w:vMerge w:val="restart"/>
          </w:tcPr>
          <w:p>
            <w:pPr>
              <w:ind w:left="2500"/>
              <w:spacing w:after="0"/>
              <w:rPr>
                <w:sz w:val="20"/>
                <w:szCs w:val="20"/>
                <w:color w:val="auto"/>
              </w:rPr>
            </w:pPr>
            <w:r>
              <w:rPr>
                <w:rFonts w:ascii="Times New Roman" w:cs="Times New Roman" w:eastAsia="Times New Roman" w:hAnsi="Times New Roman"/>
                <w:sz w:val="18"/>
                <w:szCs w:val="18"/>
                <w:color w:val="auto"/>
              </w:rPr>
              <w:t>F-19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9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CONTRACT LIABILITIES</w:t>
      </w:r>
    </w:p>
    <w:p>
      <w:pPr>
        <w:spacing w:after="0" w:line="23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0"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tabs>
          <w:tab w:leader="none" w:pos="8660" w:val="left"/>
          <w:tab w:leader="none" w:pos="9200" w:val="left"/>
          <w:tab w:leader="none" w:pos="10000" w:val="left"/>
          <w:tab w:leader="none" w:pos="10940" w:val="left"/>
        </w:tabs>
        <w:rPr>
          <w:sz w:val="20"/>
          <w:szCs w:val="20"/>
          <w:color w:val="auto"/>
        </w:rPr>
      </w:pPr>
      <w:r>
        <w:rPr>
          <w:rFonts w:ascii="Times New Roman" w:cs="Times New Roman" w:eastAsia="Times New Roman" w:hAnsi="Times New Roman"/>
          <w:sz w:val="18"/>
          <w:szCs w:val="18"/>
          <w:color w:val="auto"/>
        </w:rPr>
        <w:t>Contract liabilities</w:t>
      </w:r>
      <w:r>
        <w:rPr>
          <w:sz w:val="20"/>
          <w:szCs w:val="20"/>
          <w:color w:val="auto"/>
        </w:rPr>
        <w:tab/>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34"/>
          <w:szCs w:val="34"/>
          <w:color w:val="auto"/>
        </w:rPr>
        <w:tab/>
      </w:r>
      <w:r>
        <w:rPr>
          <w:rFonts w:ascii="Times New Roman" w:cs="Times New Roman" w:eastAsia="Times New Roman" w:hAnsi="Times New Roman"/>
          <w:sz w:val="34"/>
          <w:szCs w:val="34"/>
          <w:color w:val="auto"/>
          <w:vertAlign w:val="subscript"/>
        </w:rPr>
        <w:t>958,314</w:t>
      </w:r>
      <w:r>
        <w:rPr>
          <w:rFonts w:ascii="Times New Roman" w:cs="Times New Roman" w:eastAsia="Times New Roman" w:hAnsi="Times New Roman"/>
          <w:sz w:val="34"/>
          <w:szCs w:val="34"/>
          <w:color w:val="auto"/>
        </w:rPr>
        <w:tab/>
      </w:r>
      <w:r>
        <w:rPr>
          <w:rFonts w:ascii="Times New Roman" w:cs="Times New Roman" w:eastAsia="Times New Roman" w:hAnsi="Times New Roman"/>
          <w:sz w:val="34"/>
          <w:szCs w:val="34"/>
          <w:color w:val="auto"/>
          <w:vertAlign w:val="subscript"/>
        </w:rPr>
        <w:t>$</w:t>
      </w:r>
      <w:r>
        <w:rPr>
          <w:sz w:val="20"/>
          <w:szCs w:val="20"/>
          <w:color w:val="auto"/>
        </w:rPr>
        <w:tab/>
      </w:r>
      <w:r>
        <w:rPr>
          <w:rFonts w:ascii="Times New Roman" w:cs="Times New Roman" w:eastAsia="Times New Roman" w:hAnsi="Times New Roman"/>
          <w:sz w:val="26"/>
          <w:szCs w:val="26"/>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26035</wp:posOffset>
            </wp:positionV>
            <wp:extent cx="156019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represented advances from clients related to integrated investor relations service on the Group’s consolidated balance sheets. These payments are non-refundable and are recognized as revenue as the Group’s performance obligation is satisfied. The Group’s contract liabilities are generally recognized as revenue within one year. For the years ended December 31, 2024, and 2023, no revenue recognized was derived from the contract liabilities balance at the beginning of such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SEGMENT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and as of December 31, 2024, the Company operated in Hong Kong, China and United States through its subsidiaries, which primarily engaged in integrated investor relations services.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determined that the Company functions as a single operating segment, and thus reports as a single reportable segment. This determination is based on rules prescribed by GAAP applied to the manner in which management operates the Company. The chief operating decision maker is responsible for allocating resources to its operations and assessing performance and obtains financial information, being the consolidated balance sheets, consolidated statements of operations, and consolidated statements of cash flows, about the Company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was incorporated as an exempted company with limited liability on September 13, 2024, under the laws of the Cayman Islands. It is a holding company and does not actively engage in any business. According to its memorandum and articles of association adopted at incorporation, the authorized share capital of the Company was US$50,000 divided into 500,000,000 ordinary shares with a par value of USD 0.0001 each.</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4, 2024, the Company re-designated its authorized share capital from US$50,000 divided into 500,000,000 ordinary shares with a par value of USD 0.0001 each to US$50,000 divided into (i) 450,000,000 Class A Ordinary Shares of par value of US$0.0001 each and (ii) 50,000,000 Class B Ordinary Shares of par value of US$0.0001 each by re-designating 449,990,000 authorized but unissued ordinary shares of par value USD$0.0001 each into 449,990,000 Class A Ordinary Shares, and 50,000,000 authorized but unissued ordinary shares of par value USD$0.0001 each into 50,000,000 Class B Ordinary Shares, and by re-designating 10,000 issued ordinary shares owned by Etoiles Zeneo Investment Limited into 10,000 Class A Ordinary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the same date, the Company issued 13,490,000 Class A Ordinary Shares and 10,000,000 Class B Ordinary Shares to Etoiles Zeneo Investment Limited. Subsequently, Etoiles Zeneo Investment Limited entered into Sale and Purchase Agreements with several entities, transferring portions of its Class A Ordinary Shares. As a result, the ownership structure of the Company was as follows: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8, 2025, Etoiles Zeneo Investment Limited voluntarily surrendered 5,000,000 Class B Ordinary Shares to the Company for cancellation for no consideration. As a result, the total number of Class B Ordinary Shares outstanding was reduced from 10,000,000 to 5,000,000. The number of Class B ordinary shares has been retroactively adjusted to reflect the Surrendered Shares.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10,287,000 Class A Ordinary Shares and 5,000,000 Class B Ordinary Shares held by Etoiles Zeneo Investment Limited;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661,500 Class A Ordinary Shares held by Doublefortuna Company Limited;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621,000 Class A Ordinary Shares held by Easy Cargo Management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634,500 Class A Ordinary Shares held by Enbo Holdings Group Limited;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634,500 Class A Ordinary Shares held by La Dicha Group Limited;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661,500 Class A Ordinary Shares held by Quantum Pinnacle Company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HK SAR</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Employees of the Company located in Hong Kong participate in a compulsory saving scheme (pension fund) for the retirement of residents in Hong Kong. Employees are required to contribute monthly to mandatory provident fund schemes provided by approved private organizations, according to their salaries and the period of employment. The Group has a defined contribution pension scheme for its qualifying employees. The scheme assets are held under a provident fund managed by an independent fund manager. The Company and its employees are each required to make contributions to the scheme calculated at 5% of the employees’ basic salaries on monthly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 and British Virgin Islands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incorporated in Cayman Islands and Zynergy BVI is incorporated in the British Virgin Islands and are not subject to tax on income or capital gains under current Cayman Islands law and British Virgin Islands law, respectively. In addition, upon payments of dividends by these entities to their shareholders, no withholding tax will be imposed.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relevant tax laws and regulations of Hong Kong, a company registered in Hong Kong is subject to income taxes within Hong Kong at the applicable tax rate on taxable income. Hong Kong profit tax rates are 8.25% on assessable profits up to US$255,428 (HK$2,000,000), and 16.5% on any part of assessable profits over US$255,428 (HK$2,000,000).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  Significant components of the provision for income taxes are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credit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the reconciliation of the differences between statutory and effective tax expenses for the year for the years ended December 31, 2024 and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 expenses</w:t>
            </w:r>
          </w:p>
        </w:tc>
        <w:tc>
          <w:tcPr>
            <w:tcW w:w="3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996,916</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Hong Kong profit tax rate</w:t>
            </w:r>
          </w:p>
        </w:tc>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Hong Kong Profits Tax rate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164,491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allowance at the statutory tax rates</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income that is not taxable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expenses that are non-deductible</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tax loss not recognized</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two-tier tax rate</w:t>
            </w: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(21,146)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(3,114)</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144,417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2"/>
          </w:tcPr>
          <w:p>
            <w:pPr>
              <w:jc w:val="right"/>
              <w:ind w:right="2856"/>
              <w:spacing w:after="0"/>
              <w:rPr>
                <w:sz w:val="20"/>
                <w:szCs w:val="20"/>
                <w:color w:val="auto"/>
              </w:rPr>
            </w:pPr>
            <w:r>
              <w:rPr>
                <w:rFonts w:ascii="Times New Roman" w:cs="Times New Roman" w:eastAsia="Times New Roman" w:hAnsi="Times New Roman"/>
                <w:sz w:val="18"/>
                <w:szCs w:val="18"/>
                <w:color w:val="auto"/>
              </w:rPr>
              <w:t>F-21</w:t>
            </w: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Deferred tax</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deferred tax assets and liabilities based on the difference between carrying amount of assets and liabilities and their respective tax bases at the applicable tax rate. Components of the Company’s deferred tax assets and liabilities are as follows as of December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Property, plant and equipment,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each uncertain tax position (including the potential application of interest and penalties) based on the technical merits, and measures the unrecognized benefits associated with the tax positions. As of December 31, 2024 and 2023, the Company did not have any significant unrecognized uncertain tax positions. The Company did not incur any interest and penalties related to potential underpaid income taxes for the years ended December 31, 2024 and 2023. The Company also does not anticipate any significant increases or decreases in unrecognized tax benefits in the next 12 months from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CONCENTRATION AND CREDIT RISKS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top two (2) customers accounted for 22% of the gross revenue (2023: 1 customer 100% of the gross revenue). The entire accounts receivable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from 1 customer (2023: nil). For the year ended December 31, 2024, one supplier accounted for 36% (2023: nil) of the total gross cost of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RISKS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Interest rate risk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exposed to interest rate risk through the changes in interest rates related mainly to the Company’s variable-rates line of credit and bank balances, which was considered minimal as the bank balances are only in current accounts and saving accounts.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currently does not have any hedging policy in relation to interest rate risk. The directors monitor the Company’s exposures on an ongoing basis and will consider hedging the interest rate should the need arise.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Sensitivity analysis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sensitivity analysis below has been determined assuming that a change in interest rates had occurred at the end of the reporting period and had been applied to the exposure to interest rates for financial instruments in existence at that date. 1% increase or decrease is used when reporting interest rate risk internally to key management personnel and represents management’s assessment of the reasonably possible change in interest rates.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Group has no interest-bearing borrowings, a 1% increase or decrease in interest rates would have no material impact on the Group’s post-tax loss for the year ended December 31, 2024,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Credit risk</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Assets that potentially subject the Group to a significant concentration of credit risk primarily consist of cash and cash equivalents, accounts receivable and other current assets. The Company believes that there is no significant credit risk associated with cash and cash equivalents, which were held by reputable financial institutions in the jurisdictions where the Company and its subsidiaries are located. The Hong Kong Deposit Protection Board pays compensation up to a limit of HK$800,000 (approximately US$102,991) if the bank with which an individual/a company hold its eligible fails. As of December 31, 2024, and 2023, cash and cash equivalents balance of US$1,441,024 and US$70,476 were at financial institutions in Hong Kong and approximately US$1,338,033 and nil were not covered by the Hong Kong Deposit Protection Board.</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designed their credit policies with an objective to minimize their exposure to credit risk. The Company’s accounts receivable is short term in nature and the associated risk is minimal. The Company conducts credit evaluations on its clients and generally does not require collateral or other security from such clients. The Company periodically evaluates the creditworthiness of the existing clients in determining an allowance for doubtful accounts primarily based upon the age of the receivables and factors surrounding the credit risk of specific clients.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Foreign currency risk</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Foreign currency risk is the risk that the holding of foreign currency balances will affect the Company’s financial position as a result of a change in foreign currency exchange rates.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reporting currency of the Company is U.S. Dollar. To date the majority of the revenues and costs are denominated in HK$ and a significant portion of the assets and liabilities are denominated in Hong Kong Dollars. There was no significant exposure to foreign exchange rate fluctuations. and the Company has not maintained any hedging policy against foreign currency risk. However, the directors monitor the related foreign currency exposure closely and will consider hedging significant foreign currency exposures should the need arise. As HK$ is currently pegged to US$, the Group’s exposure to foreign exchange fluctuations is minimal.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Moreover, the Company’s monetary assets and liabilities are mainly denominated in HK$, which are the same as the functional currencies of the relevant group entities. Hence, in the opinion of the directors of the Company, the currency risk of $ is considered insignificant.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Liquidity risk</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Typically, the Company ensures that it has sufficient cash on demand to meet expected operational expenses for a period of 30 days, including the servicing of financial obligations; this excludes the potential impact of extreme circumstances that cannot reasonably be predicted, such as natural disasters.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AND 2023</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(Currency expressed in United States Dollars (“USD or $”), except for number of shares)</w:t>
      </w:r>
    </w:p>
    <w:p>
      <w:pPr>
        <w:spacing w:after="0" w:line="203" w:lineRule="exact"/>
        <w:rPr>
          <w:sz w:val="20"/>
          <w:szCs w:val="20"/>
          <w:color w:val="auto"/>
        </w:rPr>
      </w:pPr>
    </w:p>
    <w:p>
      <w:pPr>
        <w:jc w:val="center"/>
        <w:ind w:right="7240"/>
        <w:spacing w:after="0"/>
        <w:rPr>
          <w:sz w:val="20"/>
          <w:szCs w:val="20"/>
          <w:color w:val="auto"/>
        </w:rPr>
      </w:pPr>
      <w:r>
        <w:rPr>
          <w:rFonts w:ascii="Times New Roman" w:cs="Times New Roman" w:eastAsia="Times New Roman" w:hAnsi="Times New Roman"/>
          <w:sz w:val="17"/>
          <w:szCs w:val="17"/>
          <w:b w:val="1"/>
          <w:bCs w:val="1"/>
          <w:u w:val="single" w:color="auto"/>
          <w:color w:val="auto"/>
        </w:rPr>
        <w:t>NOTE 16 — RELATED PARTY TRANSACTIONS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Balances with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 due from (to) a director</w:t>
      </w:r>
    </w:p>
    <w:p>
      <w:pPr>
        <w:spacing w:after="0" w:line="23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19685</wp:posOffset>
            </wp:positionV>
            <wp:extent cx="15430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30" w:lineRule="exact"/>
        <w:rPr>
          <w:sz w:val="20"/>
          <w:szCs w:val="20"/>
          <w:color w:val="auto"/>
        </w:rPr>
      </w:pPr>
    </w:p>
    <w:p>
      <w:pPr>
        <w:ind w:left="7720"/>
        <w:spacing w:after="0"/>
        <w:tabs>
          <w:tab w:leader="none" w:pos="90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Note</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 w:lineRule="exact"/>
        <w:rPr>
          <w:sz w:val="20"/>
          <w:szCs w:val="20"/>
          <w:color w:val="auto"/>
        </w:rPr>
      </w:pPr>
    </w:p>
    <w:p>
      <w:pPr>
        <w:spacing w:after="0"/>
        <w:tabs>
          <w:tab w:leader="none" w:pos="7880" w:val="left"/>
          <w:tab w:leader="none" w:pos="8680" w:val="left"/>
          <w:tab w:leader="none" w:pos="9200" w:val="left"/>
          <w:tab w:leader="none" w:pos="10000" w:val="left"/>
          <w:tab w:leader="none" w:pos="10560" w:val="left"/>
        </w:tabs>
        <w:rPr>
          <w:sz w:val="20"/>
          <w:szCs w:val="20"/>
          <w:color w:val="auto"/>
        </w:rPr>
      </w:pPr>
      <w:r>
        <w:rPr>
          <w:rFonts w:ascii="Times New Roman" w:cs="Times New Roman" w:eastAsia="Times New Roman" w:hAnsi="Times New Roman"/>
          <w:sz w:val="18"/>
          <w:szCs w:val="18"/>
          <w:color w:val="auto"/>
        </w:rPr>
        <w:t>Mr. Cheung Kit Shing</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309,507</w:t>
        <w:tab/>
        <w:t>$</w:t>
      </w:r>
      <w:r>
        <w:rPr>
          <w:sz w:val="20"/>
          <w:szCs w:val="20"/>
          <w:color w:val="auto"/>
        </w:rPr>
        <w:tab/>
      </w:r>
      <w:r>
        <w:rPr>
          <w:rFonts w:ascii="Times New Roman" w:cs="Times New Roman" w:eastAsia="Times New Roman" w:hAnsi="Times New Roman"/>
          <w:sz w:val="18"/>
          <w:szCs w:val="18"/>
          <w:color w:val="auto"/>
        </w:rPr>
        <w:t>(35,521)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66040</wp:posOffset>
            </wp:positionV>
            <wp:extent cx="15430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178308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9" w:lineRule="exact"/>
        <w:rPr>
          <w:sz w:val="20"/>
          <w:szCs w:val="20"/>
          <w:color w:val="auto"/>
        </w:rPr>
      </w:pPr>
    </w:p>
    <w:p>
      <w:pPr>
        <w:ind w:lef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advanced to (by) a director. Amount due from (to) a director is unsecured, non-interest bearing and repayable on demand. Subsequent to the year end, the balance was fully settled on May 9, 2025.</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Summary of Related Party Transactions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transactions and balances detailed elsewhere in these consolidated financial statements, the Company had the following transactions with related parties: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trade transactions with related parties for years ended December 31, 2024 and 2023 are listed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Salary paid to a related party:</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56"/>
        </w:trPr>
        <w:tc>
          <w:tcPr>
            <w:tcW w:w="85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Mr. Cheung Kit Shing</w:t>
            </w:r>
            <w:r>
              <w:rPr>
                <w:rFonts w:ascii="Times New Roman" w:cs="Times New Roman" w:eastAsia="Times New Roman" w:hAnsi="Times New Roman"/>
                <w:sz w:val="29"/>
                <w:szCs w:val="29"/>
                <w:color w:val="auto"/>
                <w:vertAlign w:val="superscript"/>
              </w:rPr>
              <w:t>(a)</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25,545</w:t>
            </w:r>
          </w:p>
        </w:tc>
      </w:tr>
      <w:tr>
        <w:trPr>
          <w:trHeight w:val="39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Cheung On Ki</w:t>
            </w:r>
            <w:r>
              <w:rPr>
                <w:rFonts w:ascii="Times New Roman" w:cs="Times New Roman" w:eastAsia="Times New Roman" w:hAnsi="Times New Roman"/>
                <w:sz w:val="29"/>
                <w:szCs w:val="29"/>
                <w:color w:val="auto"/>
                <w:vertAlign w:val="superscript"/>
              </w:rPr>
              <w:t>(b)</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32,039</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Cheung Kit Shing is the director and a principal shareholder of the Company.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Cheung On Ki, is a close family member of a director, Mr. Cheung Kit Shing.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17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December 31, 2024 and 2023, the Company did not have any significant capital and other 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regarding contractual and employment relationships and a variety of other matters. The Company records contingent liabilities resulting from such claims, when a loss is assessed to be probable, and the amount of the loss is reasonably estimable. In the opinion of management, there were no pending or threatened claims and litigation as of December 31, 2024 and through the issuance date of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18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8, 2025, Etoiles Zeneo Investment Limited voluntarily surrendered 5,000,000 Class B Ordinary Shares to the Company for cancellation for no consideration. As a result, the total number of Class B Ordinary Shares outstanding was reduced from 10,000,000 to 5,000,000.</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disclosed above, the Company has assessed all events from December 31, 2024, through May 15, 2025 which is the date that these consolidated financial statements are available to be issued. There are not any material subsequent events that require disclosure in these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b w:val="1"/>
          <w:bCs w:val="1"/>
          <w:color w:val="auto"/>
        </w:rPr>
        <w:t>3,213,000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ETOILES CAPITAL GROUP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RESALE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23, 2025</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lowerRoman"/>
      <w:start w:val="3"/>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1)"/>
      <w:numFmt w:val="lowerRoman"/>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lowerRoman"/>
      <w:start w:val="3"/>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1)"/>
      <w:numFmt w:val="lowerRoman"/>
      <w:start w:val="1"/>
    </w:lvl>
  </w:abstractNum>
  <w:abstractNum w:abstractNumId="17">
    <w:nsid w:val="23F9C13C"/>
    <w:multiLevelType w:val="hybridMultilevel"/>
    <w:lvl w:ilvl="0">
      <w:lvlJc w:val="left"/>
      <w:lvlText w:val="(%1)"/>
      <w:numFmt w:val="lowerRoman"/>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lowerRoman"/>
      <w:start w:val="2"/>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lowerRoman"/>
      <w:start w:val="1"/>
    </w:lvl>
  </w:abstractNum>
  <w:abstractNum w:abstractNumId="28">
    <w:nsid w:val="D34B6A8"/>
    <w:multiLevelType w:val="hybridMultilevel"/>
    <w:lvl w:ilvl="0">
      <w:lvlJc w:val="left"/>
      <w:lvlText w:val="%1)"/>
      <w:numFmt w:val="lowerRoman"/>
      <w:start w:val="2"/>
    </w:lvl>
  </w:abstractNum>
  <w:abstractNum w:abstractNumId="29">
    <w:nsid w:val="10233C99"/>
    <w:multiLevelType w:val="hybridMultilevel"/>
    <w:lvl w:ilvl="0">
      <w:lvlJc w:val="left"/>
      <w:lvlText w:val="%1)"/>
      <w:numFmt w:val="lowerRoman"/>
      <w:start w:val="3"/>
    </w:lvl>
  </w:abstractNum>
  <w:abstractNum w:abstractNumId="30">
    <w:nsid w:val="3F6AB60F"/>
    <w:multiLevelType w:val="hybridMultilevel"/>
    <w:lvl w:ilvl="0">
      <w:lvlJc w:val="left"/>
      <w:lvlText w:val="%1)"/>
      <w:numFmt w:val="lowerRoman"/>
      <w:start w:val="1"/>
    </w:lvl>
  </w:abstractNum>
  <w:abstractNum w:abstractNumId="31">
    <w:nsid w:val="61574095"/>
    <w:multiLevelType w:val="hybridMultilevel"/>
    <w:lvl w:ilvl="0">
      <w:lvlJc w:val="left"/>
      <w:lvlText w:val="%1)"/>
      <w:numFmt w:val="lowerRoman"/>
      <w:start w:val="2"/>
    </w:lvl>
  </w:abstractNum>
  <w:abstractNum w:abstractNumId="32">
    <w:nsid w:val="7E0C57B1"/>
    <w:multiLevelType w:val="hybridMultilevel"/>
    <w:lvl w:ilvl="0">
      <w:lvlJc w:val="left"/>
      <w:lvlText w:val="%1)"/>
      <w:numFmt w:val="lowerRoman"/>
      <w:start w:val="3"/>
    </w:lvl>
  </w:abstractNum>
  <w:abstractNum w:abstractNumId="33">
    <w:nsid w:val="77AE35EB"/>
    <w:multiLevelType w:val="hybridMultilevel"/>
    <w:lvl w:ilvl="0">
      <w:lvlJc w:val="left"/>
      <w:lvlText w:val="%1)"/>
      <w:numFmt w:val="lowerRoman"/>
      <w:start w:val="4"/>
    </w:lvl>
  </w:abstractNum>
  <w:abstractNum w:abstractNumId="34">
    <w:nsid w:val="579BE4F1"/>
    <w:multiLevelType w:val="hybridMultilevel"/>
    <w:lvl w:ilvl="0">
      <w:lvlJc w:val="left"/>
      <w:lvlText w:val="(%1)"/>
      <w:numFmt w:val="lowerRoman"/>
      <w:start w:val="1"/>
    </w:lvl>
  </w:abstractNum>
  <w:abstractNum w:abstractNumId="35">
    <w:nsid w:val="310C50B3"/>
    <w:multiLevelType w:val="hybridMultilevel"/>
    <w:lvl w:ilvl="0">
      <w:lvlJc w:val="left"/>
      <w:lvlText w:val="(%1)"/>
      <w:numFmt w:val="lowerRoman"/>
      <w:start w:val="1"/>
    </w:lvl>
    <w:lvl w:ilvl="1">
      <w:lvlJc w:val="left"/>
      <w:lvlText w:val="●"/>
      <w:numFmt w:val="bullet"/>
      <w:start w:val="1"/>
    </w:lvl>
  </w:abstractNum>
  <w:abstractNum w:abstractNumId="36">
    <w:nsid w:val="5FF87E05"/>
    <w:multiLevelType w:val="hybridMultilevel"/>
    <w:lvl w:ilvl="0">
      <w:lvlJc w:val="left"/>
      <w:lvlText w:val="(%1)"/>
      <w:numFmt w:val="lowerRoman"/>
      <w:start w:val="2"/>
    </w:lvl>
    <w:lvl w:ilvl="1">
      <w:lvlJc w:val="left"/>
      <w:lvlText w:val="●"/>
      <w:numFmt w:val="bullet"/>
      <w:start w:val="1"/>
    </w:lvl>
  </w:abstractNum>
  <w:abstractNum w:abstractNumId="37">
    <w:nsid w:val="2F305DEF"/>
    <w:multiLevelType w:val="hybridMultilevel"/>
    <w:lvl w:ilvl="0">
      <w:lvlJc w:val="left"/>
      <w:lvlText w:val="(%1)"/>
      <w:numFmt w:val="lowerLetter"/>
      <w:start w:val="1"/>
    </w:lvl>
  </w:abstractNum>
  <w:abstractNum w:abstractNumId="38">
    <w:nsid w:val="25A70BF7"/>
    <w:multiLevelType w:val="hybridMultilevel"/>
    <w:lvl w:ilvl="0">
      <w:lvlJc w:val="left"/>
      <w:lvlText w:val="(%1)"/>
      <w:numFmt w:val="lowerLetter"/>
      <w:start w:val="9"/>
    </w:lvl>
  </w:abstractNum>
  <w:abstractNum w:abstractNumId="39">
    <w:nsid w:val="1DBABF00"/>
    <w:multiLevelType w:val="hybridMultilevel"/>
    <w:lvl w:ilvl="0">
      <w:lvlJc w:val="left"/>
      <w:lvlText w:val="%1"/>
      <w:numFmt w:val="upperLetter"/>
      <w:start w:val="1"/>
    </w:lvl>
    <w:lvl w:ilvl="1">
      <w:lvlJc w:val="left"/>
      <w:lvlText w:val="(%2)"/>
      <w:numFmt w:val="decimal"/>
      <w:start w:val="1"/>
    </w:lvl>
  </w:abstractNum>
  <w:abstractNum w:abstractNumId="40">
    <w:nsid w:val="4AD084E9"/>
    <w:multiLevelType w:val="hybridMultilevel"/>
    <w:lvl w:ilvl="0">
      <w:lvlJc w:val="left"/>
      <w:lvlText w:val="(%1)"/>
      <w:numFmt w:val="upperLetter"/>
      <w:start w:val="3"/>
    </w:lvl>
    <w:lvl w:ilvl="1">
      <w:lvlJc w:val="left"/>
      <w:lvlText w:val="%2"/>
      <w:numFmt w:val="decimal"/>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
      <w:numFmt w:val="bullet"/>
      <w:start w:val="1"/>
    </w:lvl>
    <w:lvl w:ilvl="1">
      <w:lvlJc w:val="left"/>
      <w:lvlText w:val="(%2)"/>
      <w:numFmt w:val="lowerRoman"/>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lowerRoman"/>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1)"/>
      <w:numFmt w:val="lowerLetter"/>
      <w:start w:val="4"/>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decimal"/>
      <w:start w:val="1"/>
    </w:lvl>
    <w:lvl w:ilvl="1">
      <w:lvlJc w:val="left"/>
      <w:lvlText w:val="(%2)"/>
      <w:numFmt w:val="lowerLetter"/>
      <w:start w:val="2"/>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lowerRoman"/>
      <w:start w:val="1"/>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3"/>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lowerRoman"/>
      <w:start w:val="1"/>
    </w:lvl>
  </w:abstractNum>
  <w:abstractNum w:abstractNumId="66">
    <w:nsid w:val="3B0FD379"/>
    <w:multiLevelType w:val="hybridMultilevel"/>
    <w:lvl w:ilvl="0">
      <w:lvlJc w:val="left"/>
      <w:lvlText w:val="(%1)"/>
      <w:numFmt w:val="lowerRoman"/>
      <w:start w:val="4"/>
    </w:lvl>
  </w:abstractNum>
  <w:abstractNum w:abstractNumId="67">
    <w:nsid w:val="68EB2F63"/>
    <w:multiLevelType w:val="hybridMultilevel"/>
    <w:lvl w:ilvl="0">
      <w:lvlJc w:val="left"/>
      <w:lvlText w:val="(%1)"/>
      <w:numFmt w:val="lowerRoman"/>
      <w:start w:val="2"/>
    </w:lvl>
  </w:abstractNum>
  <w:abstractNum w:abstractNumId="68">
    <w:nsid w:val="4962813B"/>
    <w:multiLevelType w:val="hybridMultilevel"/>
    <w:lvl w:ilvl="0">
      <w:lvlJc w:val="left"/>
      <w:lvlText w:val="(%1)"/>
      <w:numFmt w:val="lowerLetter"/>
      <w:start w:val="1"/>
    </w:lvl>
  </w:abstractNum>
  <w:abstractNum w:abstractNumId="69">
    <w:nsid w:val="60B6DF70"/>
    <w:multiLevelType w:val="hybridMultilevel"/>
    <w:lvl w:ilvl="0">
      <w:lvlJc w:val="left"/>
      <w:lvlText w:val="(%1)"/>
      <w:numFmt w:val="lowerLetter"/>
      <w:start w:val="3"/>
    </w:lvl>
  </w:abstractNum>
  <w:abstractNum w:abstractNumId="70">
    <w:nsid w:val="6A5EE64"/>
    <w:multiLevelType w:val="hybridMultilevel"/>
    <w:lvl w:ilvl="0">
      <w:lvlJc w:val="left"/>
      <w:lvlText w:val="(%1)"/>
      <w:numFmt w:val="lowerLetter"/>
      <w:start w:val="4"/>
    </w:lvl>
  </w:abstractNum>
  <w:abstractNum w:abstractNumId="71">
    <w:nsid w:val="14330624"/>
    <w:multiLevelType w:val="hybridMultilevel"/>
    <w:lvl w:ilvl="0">
      <w:lvlJc w:val="left"/>
      <w:lvlText w:val="(%1)"/>
      <w:numFmt w:val="lowerLetter"/>
      <w:start w:val="7"/>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1)"/>
      <w:numFmt w:val="lowerLetter"/>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lowerRoman"/>
      <w:start w:val="2"/>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3"/>
    </w:lvl>
  </w:abstractNum>
  <w:abstractNum w:abstractNumId="89">
    <w:nsid w:val="46B7D447"/>
    <w:multiLevelType w:val="hybridMultilevel"/>
    <w:lvl w:ilvl="0">
      <w:lvlJc w:val="left"/>
      <w:lvlText w:val="(%1)"/>
      <w:numFmt w:val="lowerLetter"/>
      <w:start w:val="2"/>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2025-09-23T07:07:57Z</dcterms:created>
  <dcterms:modified xsi:type="dcterms:W3CDTF">2025-09-23T07:07:57Z</dcterms:modified>
</cp:coreProperties>
</file>